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D" w:rsidRDefault="00CE0B0D" w:rsidP="00CE0B0D">
      <w:pPr>
        <w:spacing w:line="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r w:rsidRPr="00506613">
        <w:rPr>
          <w:rFonts w:eastAsia="標楷體" w:hint="eastAsia"/>
          <w:b/>
          <w:bCs/>
          <w:color w:val="000000"/>
          <w:sz w:val="28"/>
          <w:szCs w:val="28"/>
        </w:rPr>
        <w:t>108</w:t>
      </w:r>
      <w:r w:rsidRPr="00506613">
        <w:rPr>
          <w:rFonts w:eastAsia="標楷體" w:hint="eastAsia"/>
          <w:b/>
          <w:bCs/>
          <w:color w:val="000000"/>
          <w:sz w:val="28"/>
          <w:szCs w:val="28"/>
        </w:rPr>
        <w:t>學年度</w:t>
      </w:r>
      <w:r w:rsidRPr="00444CD9">
        <w:rPr>
          <w:rFonts w:eastAsia="標楷體" w:hint="eastAsia"/>
          <w:b/>
          <w:bCs/>
          <w:color w:val="000000"/>
          <w:sz w:val="28"/>
          <w:szCs w:val="28"/>
        </w:rPr>
        <w:t>教育與學習科技學系『課程與教學碩士在職專班』</w:t>
      </w:r>
    </w:p>
    <w:p w:rsidR="00CE0B0D" w:rsidRPr="00F34FB5" w:rsidRDefault="00CE0B0D" w:rsidP="00CE0B0D">
      <w:pPr>
        <w:spacing w:line="0" w:lineRule="atLeast"/>
        <w:jc w:val="center"/>
        <w:rPr>
          <w:rFonts w:eastAsia="標楷體" w:hint="eastAsia"/>
          <w:b/>
          <w:bCs/>
          <w:color w:val="000000"/>
          <w:sz w:val="28"/>
          <w:szCs w:val="28"/>
        </w:rPr>
      </w:pPr>
      <w:r w:rsidRPr="00444CD9">
        <w:rPr>
          <w:rFonts w:eastAsia="標楷體" w:hint="eastAsia"/>
          <w:b/>
          <w:bCs/>
          <w:color w:val="000000"/>
          <w:sz w:val="28"/>
          <w:szCs w:val="28"/>
        </w:rPr>
        <w:t>乙組課程科目表</w:t>
      </w:r>
    </w:p>
    <w:bookmarkEnd w:id="0"/>
    <w:p w:rsidR="00CE0B0D" w:rsidRPr="00D32931" w:rsidRDefault="00CE0B0D" w:rsidP="00CE0B0D">
      <w:pPr>
        <w:widowControl/>
        <w:autoSpaceDE w:val="0"/>
        <w:autoSpaceDN w:val="0"/>
        <w:spacing w:line="0" w:lineRule="atLeast"/>
        <w:jc w:val="right"/>
        <w:textAlignment w:val="bottom"/>
        <w:rPr>
          <w:rFonts w:eastAsia="標楷體"/>
          <w:color w:val="000000"/>
          <w:sz w:val="22"/>
          <w:szCs w:val="22"/>
        </w:rPr>
      </w:pPr>
    </w:p>
    <w:p w:rsidR="00CE0B0D" w:rsidRPr="008E4393" w:rsidRDefault="00CE0B0D" w:rsidP="00CE0B0D">
      <w:pPr>
        <w:rPr>
          <w:rFonts w:eastAsia="標楷體" w:hint="eastAsia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 xml:space="preserve">    </w:t>
      </w:r>
      <w:r w:rsidRPr="008E4393">
        <w:rPr>
          <w:rFonts w:eastAsia="標楷體"/>
          <w:color w:val="000000"/>
          <w:sz w:val="22"/>
          <w:szCs w:val="22"/>
        </w:rPr>
        <w:t>說明：</w:t>
      </w:r>
    </w:p>
    <w:p w:rsidR="00CE0B0D" w:rsidRPr="008E4393" w:rsidRDefault="00CE0B0D" w:rsidP="00CE0B0D">
      <w:pPr>
        <w:numPr>
          <w:ilvl w:val="0"/>
          <w:numId w:val="1"/>
        </w:numPr>
        <w:ind w:left="960"/>
        <w:rPr>
          <w:rFonts w:eastAsia="標楷體"/>
          <w:bCs/>
          <w:color w:val="000000"/>
          <w:sz w:val="22"/>
          <w:szCs w:val="22"/>
        </w:rPr>
      </w:pPr>
      <w:r w:rsidRPr="008E4393">
        <w:rPr>
          <w:rFonts w:eastAsia="標楷體"/>
          <w:bCs/>
          <w:color w:val="000000"/>
          <w:sz w:val="22"/>
          <w:szCs w:val="22"/>
        </w:rPr>
        <w:t>必修：</w:t>
      </w:r>
      <w:r w:rsidRPr="00506613">
        <w:rPr>
          <w:rFonts w:eastAsia="標楷體" w:hint="eastAsia"/>
          <w:bCs/>
          <w:color w:val="000000"/>
          <w:sz w:val="22"/>
          <w:szCs w:val="22"/>
        </w:rPr>
        <w:t>10</w:t>
      </w:r>
      <w:r w:rsidRPr="00506613">
        <w:rPr>
          <w:rFonts w:eastAsia="標楷體" w:hint="eastAsia"/>
          <w:bCs/>
          <w:color w:val="000000"/>
          <w:sz w:val="22"/>
          <w:szCs w:val="22"/>
        </w:rPr>
        <w:t>學分</w:t>
      </w:r>
    </w:p>
    <w:p w:rsidR="00CE0B0D" w:rsidRPr="00506613" w:rsidRDefault="00CE0B0D" w:rsidP="00CE0B0D">
      <w:pPr>
        <w:numPr>
          <w:ilvl w:val="0"/>
          <w:numId w:val="1"/>
        </w:numPr>
        <w:ind w:left="960"/>
        <w:rPr>
          <w:rFonts w:eastAsia="標楷體" w:hint="eastAsia"/>
          <w:color w:val="000000"/>
          <w:sz w:val="22"/>
          <w:szCs w:val="22"/>
        </w:rPr>
      </w:pPr>
      <w:r w:rsidRPr="008E4393">
        <w:rPr>
          <w:rFonts w:eastAsia="標楷體"/>
          <w:color w:val="000000"/>
          <w:sz w:val="22"/>
          <w:szCs w:val="22"/>
        </w:rPr>
        <w:t>選</w:t>
      </w:r>
      <w:r>
        <w:rPr>
          <w:rFonts w:eastAsia="標楷體" w:hint="eastAsia"/>
          <w:color w:val="000000"/>
          <w:sz w:val="22"/>
          <w:szCs w:val="22"/>
        </w:rPr>
        <w:t>修</w:t>
      </w:r>
      <w:r w:rsidRPr="008E4393">
        <w:rPr>
          <w:rFonts w:eastAsia="標楷體"/>
          <w:color w:val="000000"/>
          <w:sz w:val="22"/>
          <w:szCs w:val="22"/>
        </w:rPr>
        <w:t>：</w:t>
      </w:r>
      <w:r>
        <w:rPr>
          <w:rFonts w:eastAsia="標楷體" w:hint="eastAsia"/>
          <w:color w:val="000000"/>
          <w:sz w:val="22"/>
          <w:szCs w:val="22"/>
        </w:rPr>
        <w:t>16</w:t>
      </w:r>
      <w:r w:rsidRPr="008E4393">
        <w:rPr>
          <w:rFonts w:eastAsia="標楷體"/>
          <w:color w:val="000000"/>
          <w:sz w:val="22"/>
          <w:szCs w:val="22"/>
        </w:rPr>
        <w:t>學分</w:t>
      </w:r>
    </w:p>
    <w:p w:rsidR="00CE0B0D" w:rsidRPr="00506613" w:rsidRDefault="00CE0B0D" w:rsidP="00CE0B0D">
      <w:pPr>
        <w:numPr>
          <w:ilvl w:val="0"/>
          <w:numId w:val="1"/>
        </w:numPr>
        <w:ind w:left="960"/>
        <w:rPr>
          <w:rFonts w:eastAsia="標楷體" w:hint="eastAsia"/>
          <w:color w:val="000000"/>
          <w:sz w:val="22"/>
          <w:szCs w:val="22"/>
        </w:rPr>
      </w:pPr>
      <w:r w:rsidRPr="00714211">
        <w:rPr>
          <w:rFonts w:eastAsia="標楷體"/>
          <w:color w:val="000000"/>
          <w:sz w:val="22"/>
          <w:szCs w:val="22"/>
        </w:rPr>
        <w:t>自由選修：</w:t>
      </w:r>
      <w:r w:rsidRPr="00506613">
        <w:rPr>
          <w:rFonts w:eastAsia="標楷體" w:hint="eastAsia"/>
          <w:color w:val="000000"/>
          <w:sz w:val="22"/>
          <w:szCs w:val="22"/>
        </w:rPr>
        <w:t>6</w:t>
      </w:r>
      <w:r w:rsidRPr="00506613">
        <w:rPr>
          <w:rFonts w:eastAsia="標楷體" w:hint="eastAsia"/>
          <w:color w:val="000000"/>
          <w:sz w:val="22"/>
          <w:szCs w:val="22"/>
        </w:rPr>
        <w:t>學分</w:t>
      </w:r>
      <w:r w:rsidRPr="00444CD9">
        <w:rPr>
          <w:rFonts w:eastAsia="標楷體" w:hint="eastAsia"/>
          <w:color w:val="000000"/>
          <w:sz w:val="22"/>
          <w:szCs w:val="22"/>
        </w:rPr>
        <w:t>（可選修本班課程，或其他校、內外碩士班課程）</w:t>
      </w:r>
    </w:p>
    <w:p w:rsidR="00CE0B0D" w:rsidRPr="008E4393" w:rsidRDefault="00CE0B0D" w:rsidP="00CE0B0D">
      <w:pPr>
        <w:autoSpaceDE w:val="0"/>
        <w:autoSpaceDN w:val="0"/>
        <w:spacing w:line="0" w:lineRule="atLeast"/>
        <w:textAlignment w:val="bottom"/>
        <w:rPr>
          <w:rFonts w:eastAsia="標楷體"/>
          <w:color w:val="000000"/>
          <w:sz w:val="22"/>
          <w:szCs w:val="22"/>
        </w:rPr>
      </w:pPr>
    </w:p>
    <w:p w:rsidR="00CE0B0D" w:rsidRPr="008E4393" w:rsidRDefault="00CE0B0D" w:rsidP="00CE0B0D">
      <w:pPr>
        <w:autoSpaceDE w:val="0"/>
        <w:autoSpaceDN w:val="0"/>
        <w:spacing w:line="0" w:lineRule="atLeast"/>
        <w:textAlignment w:val="bottom"/>
        <w:rPr>
          <w:rFonts w:eastAsia="標楷體" w:hint="eastAsia"/>
          <w:color w:val="00000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3759"/>
        <w:gridCol w:w="483"/>
        <w:gridCol w:w="488"/>
        <w:gridCol w:w="485"/>
        <w:gridCol w:w="485"/>
        <w:gridCol w:w="485"/>
        <w:gridCol w:w="485"/>
        <w:gridCol w:w="1092"/>
      </w:tblGrid>
      <w:tr w:rsidR="00CE0B0D" w:rsidRPr="00D107A9" w:rsidTr="007C786E">
        <w:trPr>
          <w:cantSplit/>
          <w:trHeight w:val="161"/>
        </w:trPr>
        <w:tc>
          <w:tcPr>
            <w:tcW w:w="294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79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293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296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588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第一學年</w:t>
            </w:r>
          </w:p>
        </w:tc>
        <w:tc>
          <w:tcPr>
            <w:tcW w:w="588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第二學年</w:t>
            </w:r>
          </w:p>
        </w:tc>
        <w:tc>
          <w:tcPr>
            <w:tcW w:w="662" w:type="pct"/>
            <w:vMerge w:val="restart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備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D107A9">
              <w:rPr>
                <w:rFonts w:eastAsia="標楷體"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CE0B0D" w:rsidRPr="00D107A9" w:rsidTr="007C786E">
        <w:trPr>
          <w:cantSplit/>
          <w:trHeight w:val="149"/>
        </w:trPr>
        <w:tc>
          <w:tcPr>
            <w:tcW w:w="294" w:type="pct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662" w:type="pct"/>
            <w:vMerge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CE0B0D" w:rsidRPr="00D107A9" w:rsidTr="007C786E">
        <w:trPr>
          <w:cantSplit/>
          <w:trHeight w:val="774"/>
        </w:trPr>
        <w:tc>
          <w:tcPr>
            <w:tcW w:w="294" w:type="pct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必修</w:t>
            </w: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 xml:space="preserve">KELN6000 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論文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Research M.S. Thesis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不列入畢業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32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學分</w:t>
            </w:r>
          </w:p>
        </w:tc>
      </w:tr>
      <w:tr w:rsidR="00CE0B0D" w:rsidRPr="00D107A9" w:rsidTr="007C786E">
        <w:trPr>
          <w:cantSplit/>
          <w:trHeight w:val="598"/>
        </w:trPr>
        <w:tc>
          <w:tcPr>
            <w:tcW w:w="294" w:type="pct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KELN5051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量的研究法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Quantitative Research Method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50"/>
        </w:trPr>
        <w:tc>
          <w:tcPr>
            <w:tcW w:w="294" w:type="pct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KELN5052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質的研究法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Qualitative Research Methods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02"/>
        </w:trPr>
        <w:tc>
          <w:tcPr>
            <w:tcW w:w="294" w:type="pct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KELN5053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教育統計學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Educational Statistics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66"/>
        </w:trPr>
        <w:tc>
          <w:tcPr>
            <w:tcW w:w="294" w:type="pct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KELN5054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課程理論與設計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Curriculum Theories and Design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46"/>
        </w:trPr>
        <w:tc>
          <w:tcPr>
            <w:tcW w:w="294" w:type="pct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KELN6055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教學理論與設計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Teaching Theories and Design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765"/>
        </w:trPr>
        <w:tc>
          <w:tcPr>
            <w:tcW w:w="294" w:type="pct"/>
            <w:vMerge w:val="restart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KELN5056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課程與教學革新專題研究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Special Issues in Curriculum and Instructional Innovation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479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KELN6057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多元評量設計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Alternative Assessment Design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274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KELN6058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多元文化教育研究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Study in Multicultural Education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494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KELN6059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教育行動研究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Educational Action Research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402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KELN5060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教學觀察與對話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Teaching 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O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bservation and 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C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onversation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480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KELN5061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教學檔案應用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  <w:lang w:val="en"/>
              </w:rPr>
              <w:t>Teaching Portfolio Application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43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KELN5062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班級文化與經營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Classroom Culture and Management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409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KELN6063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教學與學習策略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Teaching and Learning Strategies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615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KELN6064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教育與學校領導研究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Study in Education and School Leadership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411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KELN5065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教育政策專題研究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Special Issues in Educational Policy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789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KELN5066</w:t>
            </w:r>
            <w:proofErr w:type="gramStart"/>
            <w:r w:rsidRPr="00D107A9">
              <w:rPr>
                <w:rFonts w:eastAsia="標楷體"/>
                <w:color w:val="000000"/>
                <w:sz w:val="22"/>
                <w:szCs w:val="22"/>
              </w:rPr>
              <w:t>教育史哲專題</w:t>
            </w:r>
            <w:proofErr w:type="gramEnd"/>
            <w:r w:rsidRPr="00D107A9">
              <w:rPr>
                <w:rFonts w:eastAsia="標楷體"/>
                <w:color w:val="000000"/>
                <w:sz w:val="22"/>
                <w:szCs w:val="22"/>
              </w:rPr>
              <w:t>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Special Issues in Educational  History and 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P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hilosophy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52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KELN6067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教育心理學專題研究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Special Issues in Educational Psychology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53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KELN6068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教育社會學專題研究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Study in Sociology of Education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694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KELN5069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台灣教育史專題研究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Special Issues in History of Taiwan Education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48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bCs/>
                <w:color w:val="000000"/>
                <w:sz w:val="22"/>
                <w:szCs w:val="22"/>
              </w:rPr>
              <w:t>KELN6070</w:t>
            </w:r>
            <w:r w:rsidRPr="00D107A9">
              <w:rPr>
                <w:rFonts w:eastAsia="標楷體"/>
                <w:bCs/>
                <w:color w:val="000000"/>
                <w:sz w:val="22"/>
                <w:szCs w:val="22"/>
              </w:rPr>
              <w:t>教學媒材製作與應用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Educational Media Development and Application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42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KELN5071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數位學習設計與發展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 xml:space="preserve">Design and Development in Digital Learning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691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KELN6072</w:t>
            </w:r>
            <w:r w:rsidRPr="00D107A9">
              <w:rPr>
                <w:rFonts w:eastAsia="標楷體"/>
                <w:color w:val="000000"/>
                <w:sz w:val="22"/>
                <w:szCs w:val="22"/>
              </w:rPr>
              <w:t>數位化教學設計與評量研究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Study in Digital Instructional Design and Assessment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  <w:tr w:rsidR="00CE0B0D" w:rsidRPr="00D107A9" w:rsidTr="007C786E">
        <w:trPr>
          <w:cantSplit/>
          <w:trHeight w:val="518"/>
        </w:trPr>
        <w:tc>
          <w:tcPr>
            <w:tcW w:w="294" w:type="pct"/>
            <w:vMerge/>
            <w:tcBorders>
              <w:left w:val="thinThickSmallGap" w:sz="12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6" w:space="0" w:color="auto"/>
              <w:bottom w:val="single" w:sz="6" w:space="0" w:color="auto"/>
            </w:tcBorders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KELN5073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跨領域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STEAM</w:t>
            </w: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教育專題研究</w:t>
            </w:r>
          </w:p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/>
                <w:color w:val="000000"/>
                <w:sz w:val="22"/>
                <w:szCs w:val="22"/>
              </w:rPr>
              <w:t>Seminar on Interdisciplinary STEAM Education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D107A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B0D" w:rsidRPr="00D107A9" w:rsidRDefault="00CE0B0D" w:rsidP="007C786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21675F" w:rsidRDefault="0021675F"/>
    <w:sectPr w:rsidR="00216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564"/>
    <w:multiLevelType w:val="hybridMultilevel"/>
    <w:tmpl w:val="31F04D86"/>
    <w:lvl w:ilvl="0" w:tplc="9C2E38B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D"/>
    <w:rsid w:val="0021675F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A352"/>
  <w15:chartTrackingRefBased/>
  <w15:docId w15:val="{99393AA6-2B0E-4750-BD2A-A6C325B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2020-08-06T02:30:00Z</dcterms:created>
  <dcterms:modified xsi:type="dcterms:W3CDTF">2020-08-06T02:32:00Z</dcterms:modified>
</cp:coreProperties>
</file>