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D9" w:rsidRPr="00A74D93" w:rsidRDefault="00C55DD9" w:rsidP="00C55DD9">
      <w:pPr>
        <w:jc w:val="center"/>
        <w:rPr>
          <w:rFonts w:eastAsia="標楷體"/>
          <w:b/>
          <w:bCs/>
          <w:spacing w:val="-20"/>
          <w:sz w:val="32"/>
          <w:szCs w:val="32"/>
        </w:rPr>
      </w:pPr>
      <w:r w:rsidRPr="00A74D93">
        <w:rPr>
          <w:rFonts w:eastAsia="標楷體"/>
          <w:b/>
          <w:bCs/>
          <w:sz w:val="32"/>
          <w:szCs w:val="32"/>
        </w:rPr>
        <w:t>100</w:t>
      </w:r>
      <w:r w:rsidRPr="00A74D93">
        <w:rPr>
          <w:rFonts w:eastAsia="標楷體" w:hAnsi="標楷體"/>
          <w:b/>
          <w:bCs/>
          <w:sz w:val="32"/>
          <w:szCs w:val="32"/>
        </w:rPr>
        <w:t>學年度教育學系</w:t>
      </w:r>
      <w:r w:rsidRPr="00A74D93">
        <w:rPr>
          <w:rFonts w:eastAsia="標楷體" w:hAnsi="標楷體"/>
          <w:b/>
          <w:bCs/>
          <w:spacing w:val="-20"/>
          <w:sz w:val="32"/>
          <w:szCs w:val="32"/>
        </w:rPr>
        <w:t>「教育行政</w:t>
      </w:r>
      <w:r w:rsidRPr="00A74D93">
        <w:rPr>
          <w:rFonts w:eastAsia="標楷體" w:hAnsi="標楷體"/>
          <w:b/>
          <w:spacing w:val="-20"/>
          <w:sz w:val="32"/>
          <w:szCs w:val="32"/>
        </w:rPr>
        <w:t>碩士學位在職進修專班」</w:t>
      </w:r>
      <w:r w:rsidRPr="00A74D93">
        <w:rPr>
          <w:rFonts w:eastAsia="標楷體" w:hAnsi="標楷體"/>
          <w:b/>
          <w:bCs/>
          <w:spacing w:val="-20"/>
          <w:sz w:val="32"/>
          <w:szCs w:val="32"/>
        </w:rPr>
        <w:t>課程科目表</w:t>
      </w:r>
    </w:p>
    <w:p w:rsidR="00C55DD9" w:rsidRPr="00A74D93" w:rsidRDefault="00C55DD9" w:rsidP="00C55DD9">
      <w:pPr>
        <w:spacing w:line="220" w:lineRule="exact"/>
        <w:jc w:val="both"/>
        <w:rPr>
          <w:rFonts w:eastAsia="標楷體"/>
          <w:sz w:val="22"/>
          <w:szCs w:val="22"/>
        </w:rPr>
      </w:pPr>
      <w:r w:rsidRPr="00A74D93">
        <w:rPr>
          <w:rFonts w:eastAsia="標楷體" w:hAnsi="標楷體"/>
          <w:sz w:val="22"/>
          <w:szCs w:val="22"/>
        </w:rPr>
        <w:t>說明：</w:t>
      </w:r>
    </w:p>
    <w:p w:rsidR="00C55DD9" w:rsidRPr="00A74D93" w:rsidRDefault="00C55DD9" w:rsidP="00C55DD9">
      <w:pPr>
        <w:spacing w:line="240" w:lineRule="atLeast"/>
        <w:rPr>
          <w:rFonts w:eastAsia="標楷體"/>
          <w:sz w:val="22"/>
          <w:szCs w:val="22"/>
        </w:rPr>
      </w:pPr>
      <w:r w:rsidRPr="00A74D93">
        <w:rPr>
          <w:rFonts w:eastAsia="標楷體" w:hAnsi="標楷體"/>
          <w:sz w:val="22"/>
          <w:szCs w:val="22"/>
        </w:rPr>
        <w:t>一、必修：論文（</w:t>
      </w:r>
      <w:r w:rsidRPr="00A74D93">
        <w:rPr>
          <w:rFonts w:eastAsia="標楷體"/>
          <w:sz w:val="22"/>
          <w:szCs w:val="22"/>
        </w:rPr>
        <w:t>4</w:t>
      </w:r>
      <w:r w:rsidRPr="00A74D93">
        <w:rPr>
          <w:rFonts w:eastAsia="標楷體" w:hAnsi="標楷體"/>
          <w:sz w:val="22"/>
          <w:szCs w:val="22"/>
        </w:rPr>
        <w:t>學分，不列入畢業</w:t>
      </w:r>
      <w:r w:rsidRPr="00A74D93">
        <w:rPr>
          <w:rFonts w:eastAsia="標楷體"/>
          <w:sz w:val="22"/>
          <w:szCs w:val="22"/>
        </w:rPr>
        <w:t>33</w:t>
      </w:r>
      <w:r w:rsidRPr="00A74D93">
        <w:rPr>
          <w:rFonts w:eastAsia="標楷體" w:hAnsi="標楷體"/>
          <w:sz w:val="22"/>
          <w:szCs w:val="22"/>
        </w:rPr>
        <w:t>學分）。</w:t>
      </w:r>
    </w:p>
    <w:p w:rsidR="00C55DD9" w:rsidRPr="00A74D93" w:rsidRDefault="00C55DD9" w:rsidP="00C55DD9">
      <w:pPr>
        <w:spacing w:line="240" w:lineRule="atLeast"/>
        <w:rPr>
          <w:rFonts w:eastAsia="標楷體"/>
          <w:sz w:val="22"/>
          <w:szCs w:val="22"/>
        </w:rPr>
      </w:pPr>
      <w:r w:rsidRPr="00A74D93">
        <w:rPr>
          <w:rFonts w:eastAsia="標楷體" w:hAnsi="標楷體"/>
          <w:sz w:val="22"/>
          <w:szCs w:val="22"/>
        </w:rPr>
        <w:t>二、規定選修：方法學至少選修</w:t>
      </w:r>
      <w:r w:rsidRPr="00A74D93">
        <w:rPr>
          <w:rFonts w:eastAsia="標楷體"/>
          <w:sz w:val="22"/>
          <w:szCs w:val="22"/>
        </w:rPr>
        <w:t>6</w:t>
      </w:r>
      <w:r w:rsidRPr="00A74D93">
        <w:rPr>
          <w:rFonts w:eastAsia="標楷體" w:hAnsi="標楷體"/>
          <w:sz w:val="22"/>
          <w:szCs w:val="22"/>
        </w:rPr>
        <w:t>學分；專業科目至少選修</w:t>
      </w:r>
      <w:r w:rsidRPr="00A74D93">
        <w:rPr>
          <w:rFonts w:eastAsia="標楷體"/>
          <w:sz w:val="22"/>
          <w:szCs w:val="22"/>
        </w:rPr>
        <w:t>21</w:t>
      </w:r>
      <w:r w:rsidRPr="00A74D93">
        <w:rPr>
          <w:rFonts w:eastAsia="標楷體" w:hAnsi="標楷體"/>
          <w:sz w:val="22"/>
          <w:szCs w:val="22"/>
        </w:rPr>
        <w:t>學分。</w:t>
      </w:r>
    </w:p>
    <w:p w:rsidR="00C55DD9" w:rsidRPr="00A74D93" w:rsidRDefault="00C55DD9" w:rsidP="00C55DD9">
      <w:pPr>
        <w:tabs>
          <w:tab w:val="left" w:pos="2040"/>
        </w:tabs>
        <w:spacing w:line="240" w:lineRule="atLeast"/>
        <w:rPr>
          <w:rFonts w:eastAsia="標楷體"/>
          <w:sz w:val="22"/>
          <w:szCs w:val="22"/>
        </w:rPr>
      </w:pPr>
      <w:r w:rsidRPr="00A74D93">
        <w:rPr>
          <w:rFonts w:eastAsia="標楷體" w:hAnsi="標楷體"/>
          <w:sz w:val="22"/>
          <w:szCs w:val="22"/>
        </w:rPr>
        <w:t>三、自由選修：</w:t>
      </w:r>
      <w:r w:rsidRPr="00A74D93">
        <w:rPr>
          <w:rFonts w:eastAsia="標楷體"/>
          <w:sz w:val="22"/>
          <w:szCs w:val="22"/>
        </w:rPr>
        <w:t>6</w:t>
      </w:r>
      <w:r w:rsidRPr="00A74D93">
        <w:rPr>
          <w:rFonts w:eastAsia="標楷體" w:hAnsi="標楷體"/>
          <w:sz w:val="22"/>
          <w:szCs w:val="22"/>
        </w:rPr>
        <w:t>學分（可選修本班課程，或本校相關碩、博班</w:t>
      </w:r>
      <w:r w:rsidRPr="00A74D93">
        <w:rPr>
          <w:rFonts w:eastAsia="標楷體" w:hAnsi="標楷體"/>
          <w:sz w:val="22"/>
          <w:szCs w:val="22"/>
          <w:u w:val="single"/>
        </w:rPr>
        <w:t>教育行政</w:t>
      </w:r>
      <w:r w:rsidRPr="00A74D93">
        <w:rPr>
          <w:rFonts w:eastAsia="標楷體" w:hAnsi="標楷體"/>
          <w:sz w:val="22"/>
          <w:szCs w:val="22"/>
        </w:rPr>
        <w:t>課程）。</w:t>
      </w:r>
    </w:p>
    <w:p w:rsidR="00C55DD9" w:rsidRPr="00A74D93" w:rsidRDefault="00C55DD9" w:rsidP="00C55DD9">
      <w:pPr>
        <w:spacing w:line="240" w:lineRule="atLeast"/>
        <w:ind w:left="440" w:hangingChars="200" w:hanging="440"/>
        <w:rPr>
          <w:rFonts w:eastAsia="標楷體"/>
          <w:sz w:val="22"/>
          <w:szCs w:val="22"/>
          <w:u w:val="single"/>
        </w:rPr>
      </w:pPr>
      <w:r w:rsidRPr="00A74D93">
        <w:rPr>
          <w:rFonts w:eastAsia="標楷體" w:hAnsi="標楷體"/>
          <w:sz w:val="22"/>
          <w:szCs w:val="22"/>
        </w:rPr>
        <w:t>四、本班學生得選修本系日間部碩士班課程</w:t>
      </w:r>
      <w:proofErr w:type="gramStart"/>
      <w:r w:rsidRPr="00A74D93">
        <w:rPr>
          <w:rFonts w:eastAsia="標楷體" w:hAnsi="標楷體"/>
          <w:sz w:val="22"/>
          <w:szCs w:val="22"/>
        </w:rPr>
        <w:t>採</w:t>
      </w:r>
      <w:proofErr w:type="gramEnd"/>
      <w:r w:rsidRPr="00A74D93">
        <w:rPr>
          <w:rFonts w:eastAsia="標楷體" w:hAnsi="標楷體"/>
          <w:sz w:val="22"/>
          <w:szCs w:val="22"/>
        </w:rPr>
        <w:t>計為畢業學分，不納入自由選修</w:t>
      </w:r>
      <w:r w:rsidRPr="00A74D93">
        <w:rPr>
          <w:rFonts w:eastAsia="標楷體"/>
          <w:sz w:val="22"/>
          <w:szCs w:val="22"/>
        </w:rPr>
        <w:t>6</w:t>
      </w:r>
      <w:r w:rsidRPr="00A74D93">
        <w:rPr>
          <w:rFonts w:eastAsia="標楷體" w:hAnsi="標楷體"/>
          <w:sz w:val="22"/>
          <w:szCs w:val="22"/>
        </w:rPr>
        <w:t>學分之限制。</w:t>
      </w:r>
    </w:p>
    <w:p w:rsidR="00C55DD9" w:rsidRPr="00A74D93" w:rsidRDefault="00C55DD9" w:rsidP="00C55DD9">
      <w:pPr>
        <w:spacing w:line="240" w:lineRule="atLeast"/>
        <w:ind w:left="360" w:hanging="360"/>
        <w:rPr>
          <w:rFonts w:eastAsia="標楷體"/>
          <w:shd w:val="pct15" w:color="auto" w:fill="FFFFFF"/>
        </w:rPr>
      </w:pPr>
      <w:r w:rsidRPr="00A74D93">
        <w:rPr>
          <w:rFonts w:eastAsia="標楷體"/>
        </w:rPr>
        <w:tab/>
      </w:r>
      <w:r w:rsidRPr="00A74D93">
        <w:rPr>
          <w:rFonts w:eastAsia="標楷體"/>
        </w:rPr>
        <w:tab/>
      </w:r>
      <w:r w:rsidRPr="00A74D93">
        <w:rPr>
          <w:rFonts w:eastAsia="標楷體"/>
        </w:rPr>
        <w:tab/>
      </w:r>
    </w:p>
    <w:p w:rsidR="00C55DD9" w:rsidRPr="00A74D93" w:rsidRDefault="00C55DD9" w:rsidP="00C55DD9">
      <w:pPr>
        <w:rPr>
          <w:rFonts w:eastAsia="標楷體"/>
        </w:rPr>
      </w:pPr>
      <w:r w:rsidRPr="00A74D93">
        <w:rPr>
          <w:rFonts w:eastAsia="標楷體" w:hAnsi="標楷體"/>
          <w:shd w:val="pct15" w:color="auto" w:fill="FFFFFF"/>
        </w:rPr>
        <w:t>方法學選修：至少</w:t>
      </w:r>
      <w:r w:rsidRPr="00A74D93">
        <w:rPr>
          <w:rFonts w:eastAsia="標楷體"/>
          <w:shd w:val="pct15" w:color="auto" w:fill="FFFFFF"/>
        </w:rPr>
        <w:t>6</w:t>
      </w:r>
      <w:r w:rsidRPr="00A74D93">
        <w:rPr>
          <w:rFonts w:eastAsia="標楷體" w:hAnsi="標楷體"/>
          <w:shd w:val="pct15" w:color="auto" w:fill="FFFFFF"/>
        </w:rPr>
        <w:t>學分</w:t>
      </w:r>
    </w:p>
    <w:tbl>
      <w:tblPr>
        <w:tblW w:w="10076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3780"/>
        <w:gridCol w:w="540"/>
        <w:gridCol w:w="540"/>
        <w:gridCol w:w="540"/>
        <w:gridCol w:w="540"/>
        <w:gridCol w:w="540"/>
        <w:gridCol w:w="540"/>
        <w:gridCol w:w="2516"/>
      </w:tblGrid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4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CCCCCC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類別</w:t>
            </w:r>
          </w:p>
        </w:tc>
        <w:tc>
          <w:tcPr>
            <w:tcW w:w="3780" w:type="dxa"/>
            <w:vMerge w:val="restart"/>
            <w:tcBorders>
              <w:top w:val="thinThickSmallGap" w:sz="12" w:space="0" w:color="auto"/>
            </w:tcBorders>
            <w:shd w:val="clear" w:color="auto" w:fill="CCCCCC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科目名稱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學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時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數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第一學年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第二學年</w:t>
            </w:r>
          </w:p>
        </w:tc>
        <w:tc>
          <w:tcPr>
            <w:tcW w:w="251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備</w:t>
            </w:r>
            <w:r w:rsidRPr="00A74D93">
              <w:rPr>
                <w:rFonts w:eastAsia="標楷體"/>
              </w:rPr>
              <w:t xml:space="preserve">    </w:t>
            </w:r>
            <w:proofErr w:type="gramStart"/>
            <w:r w:rsidRPr="00A74D93">
              <w:rPr>
                <w:rFonts w:eastAsia="標楷體" w:hAnsi="標楷體"/>
              </w:rPr>
              <w:t>註</w:t>
            </w:r>
            <w:proofErr w:type="gramEnd"/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40" w:type="dxa"/>
            <w:vMerge/>
            <w:tcBorders>
              <w:left w:val="thinThick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distribute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上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下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上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下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40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方法學選修</w:t>
            </w: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質的研究法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</w:rPr>
              <w:t>Qualitative Research Methods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 w:val="restart"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jc w:val="both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三選二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質的研究法與量的研究法均包括資料分析</w:t>
            </w: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540" w:type="dxa"/>
            <w:vMerge/>
            <w:tcBorders>
              <w:left w:val="thinThick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量的研究法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</w:rPr>
              <w:t>Quantitative Research Methods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line="240" w:lineRule="exact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bookmarkStart w:id="0" w:name="OLE_LINK1"/>
            <w:r w:rsidRPr="00A74D93">
              <w:rPr>
                <w:rFonts w:eastAsia="標楷體" w:hAnsi="標楷體"/>
              </w:rPr>
              <w:t>高等統計與電腦軟體運用</w:t>
            </w:r>
            <w:bookmarkEnd w:id="0"/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bottom w:val="single" w:sz="12" w:space="0" w:color="auto"/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</w:tbl>
    <w:p w:rsidR="00C55DD9" w:rsidRPr="00A74D93" w:rsidRDefault="00C55DD9" w:rsidP="00C55DD9">
      <w:pPr>
        <w:rPr>
          <w:rFonts w:eastAsia="標楷體"/>
          <w:shd w:val="pct15" w:color="auto" w:fill="FFFFFF"/>
        </w:rPr>
      </w:pPr>
    </w:p>
    <w:p w:rsidR="00C55DD9" w:rsidRPr="00A74D93" w:rsidRDefault="00C55DD9" w:rsidP="00C55DD9">
      <w:pPr>
        <w:rPr>
          <w:rFonts w:eastAsia="標楷體"/>
          <w:shd w:val="pct15" w:color="auto" w:fill="FFFFFF"/>
        </w:rPr>
      </w:pPr>
      <w:r w:rsidRPr="00A74D93">
        <w:rPr>
          <w:rFonts w:eastAsia="標楷體" w:hAnsi="標楷體"/>
          <w:shd w:val="pct15" w:color="auto" w:fill="FFFFFF"/>
        </w:rPr>
        <w:t>專業選修：至少</w:t>
      </w:r>
      <w:r w:rsidRPr="00A74D93">
        <w:rPr>
          <w:rFonts w:eastAsia="標楷體"/>
          <w:shd w:val="pct15" w:color="auto" w:fill="FFFFFF"/>
        </w:rPr>
        <w:t>21</w:t>
      </w:r>
      <w:r w:rsidRPr="00A74D93">
        <w:rPr>
          <w:rFonts w:eastAsia="標楷體" w:hAnsi="標楷體"/>
          <w:shd w:val="pct15" w:color="auto" w:fill="FFFFFF"/>
        </w:rPr>
        <w:t>學分</w:t>
      </w:r>
    </w:p>
    <w:tbl>
      <w:tblPr>
        <w:tblW w:w="1007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3780"/>
        <w:gridCol w:w="540"/>
        <w:gridCol w:w="540"/>
        <w:gridCol w:w="540"/>
        <w:gridCol w:w="540"/>
        <w:gridCol w:w="540"/>
        <w:gridCol w:w="540"/>
        <w:gridCol w:w="2516"/>
      </w:tblGrid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54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CCCCCC"/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類別</w:t>
            </w:r>
          </w:p>
        </w:tc>
        <w:tc>
          <w:tcPr>
            <w:tcW w:w="3780" w:type="dxa"/>
            <w:vMerge w:val="restart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autoSpaceDE w:val="0"/>
              <w:autoSpaceDN w:val="0"/>
              <w:jc w:val="distribute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科目名稱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學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時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數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第一學年</w:t>
            </w:r>
          </w:p>
        </w:tc>
        <w:tc>
          <w:tcPr>
            <w:tcW w:w="1080" w:type="dxa"/>
            <w:gridSpan w:val="2"/>
            <w:tcBorders>
              <w:top w:val="thinThickSmallGap" w:sz="12" w:space="0" w:color="auto"/>
            </w:tcBorders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第二學年</w:t>
            </w:r>
          </w:p>
        </w:tc>
        <w:tc>
          <w:tcPr>
            <w:tcW w:w="2516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備</w:t>
            </w:r>
            <w:r w:rsidRPr="00A74D93">
              <w:rPr>
                <w:rFonts w:eastAsia="標楷體"/>
              </w:rPr>
              <w:t xml:space="preserve">    </w:t>
            </w:r>
            <w:proofErr w:type="gramStart"/>
            <w:r w:rsidRPr="00A74D93">
              <w:rPr>
                <w:rFonts w:eastAsia="標楷體" w:hAnsi="標楷體"/>
              </w:rPr>
              <w:t>註</w:t>
            </w:r>
            <w:proofErr w:type="gramEnd"/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distribute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上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下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上</w:t>
            </w:r>
          </w:p>
        </w:tc>
        <w:tc>
          <w:tcPr>
            <w:tcW w:w="540" w:type="dxa"/>
            <w:shd w:val="clear" w:color="auto" w:fill="CCCCCC"/>
          </w:tcPr>
          <w:p w:rsidR="00C55DD9" w:rsidRPr="00A74D93" w:rsidRDefault="00C55DD9" w:rsidP="0002037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下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40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基礎課程</w:t>
            </w: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教育行政研究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Educational Administration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  <w:r w:rsidRPr="00A74D93">
              <w:rPr>
                <w:rFonts w:eastAsia="標楷體"/>
                <w:spacing w:val="-20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 w:val="restart"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jc w:val="both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十五選七</w:t>
            </w: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  <w:u w:val="single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學校行政專題研究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Special Issues on School Administration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學校組織行為分析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School Organizational Behavior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  <w:r w:rsidRPr="00A74D93">
              <w:rPr>
                <w:rFonts w:eastAsia="標楷體"/>
                <w:spacing w:val="-20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教育行政行動智慧研究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Wisdom for Action in Educational Administration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540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政策與評鑑</w:t>
            </w: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教育政策分析研究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Educational Policy Analysis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教育評鑑研究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Educational Evaluation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教育法學研究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</w:t>
            </w:r>
            <w:r w:rsidRPr="005F2EB6">
              <w:rPr>
                <w:rFonts w:eastAsia="標楷體"/>
                <w:sz w:val="22"/>
                <w:szCs w:val="22"/>
              </w:rPr>
              <w:t xml:space="preserve">y </w:t>
            </w:r>
            <w:r w:rsidRPr="00A74D93">
              <w:rPr>
                <w:rFonts w:eastAsia="標楷體"/>
                <w:sz w:val="22"/>
                <w:szCs w:val="22"/>
              </w:rPr>
              <w:t>in Law of Education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1206"/>
        </w:trPr>
        <w:tc>
          <w:tcPr>
            <w:tcW w:w="540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lastRenderedPageBreak/>
              <w:t>教育行政歷程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教育計畫與決定研究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</w:rPr>
              <w:t>Educational Planning and Decision Making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教育與學校領導研究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Education and School Leadership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1137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教育與學校溝通研究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Education and School Communication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公關行銷與社區發展研究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Public Relation, Marketing and Community Development</w:t>
            </w:r>
            <w:r w:rsidRPr="00A74D93">
              <w:rPr>
                <w:rFonts w:eastAsia="標楷體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512" w:right="-2548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540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行政管理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事務管理研究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</w:rPr>
              <w:t>Study on Affairs Management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  <w:r w:rsidRPr="00A74D93">
              <w:rPr>
                <w:rFonts w:eastAsia="標楷體"/>
                <w:spacing w:val="-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人力資源管理研究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Human Resource Management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  <w:r w:rsidRPr="00A74D93">
              <w:rPr>
                <w:rFonts w:eastAsia="標楷體"/>
                <w:spacing w:val="-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</w:trPr>
        <w:tc>
          <w:tcPr>
            <w:tcW w:w="540" w:type="dxa"/>
            <w:vMerge/>
            <w:tcBorders>
              <w:left w:val="thinThickSmallGap" w:sz="12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知識管理研究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Knowledge Management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2516" w:type="dxa"/>
            <w:vMerge/>
            <w:tcBorders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標楷體"/>
              </w:rPr>
            </w:pPr>
          </w:p>
        </w:tc>
      </w:tr>
      <w:tr w:rsidR="00C55DD9" w:rsidRPr="00A74D93" w:rsidTr="0002037F">
        <w:tblPrEx>
          <w:tblCellMar>
            <w:top w:w="0" w:type="dxa"/>
            <w:bottom w:w="0" w:type="dxa"/>
          </w:tblCellMar>
        </w:tblPrEx>
        <w:trPr>
          <w:cantSplit/>
          <w:trHeight w:hRule="exact" w:val="1317"/>
        </w:trPr>
        <w:tc>
          <w:tcPr>
            <w:tcW w:w="540" w:type="dxa"/>
            <w:vMerge/>
            <w:tcBorders>
              <w:left w:val="thinThickSmallGap" w:sz="12" w:space="0" w:color="auto"/>
              <w:bottom w:val="thinThickSmallGap" w:sz="18" w:space="0" w:color="auto"/>
            </w:tcBorders>
            <w:textDirection w:val="tbRlV"/>
          </w:tcPr>
          <w:p w:rsidR="00C55DD9" w:rsidRPr="00A74D93" w:rsidRDefault="00C55DD9" w:rsidP="0002037F">
            <w:pPr>
              <w:autoSpaceDE w:val="0"/>
              <w:autoSpaceDN w:val="0"/>
              <w:spacing w:before="40" w:after="40"/>
              <w:ind w:left="113" w:right="113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78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 w:hAnsi="標楷體"/>
              </w:rPr>
              <w:t>專業發展與組織文化研究</w:t>
            </w:r>
          </w:p>
          <w:p w:rsidR="00C55DD9" w:rsidRPr="00A74D93" w:rsidRDefault="00C55DD9" w:rsidP="0002037F">
            <w:pPr>
              <w:rPr>
                <w:rFonts w:eastAsia="標楷體"/>
              </w:rPr>
            </w:pPr>
            <w:r w:rsidRPr="00A74D93">
              <w:rPr>
                <w:rFonts w:eastAsia="標楷體"/>
                <w:sz w:val="22"/>
                <w:szCs w:val="22"/>
              </w:rPr>
              <w:t>Study in Professional Development and Organizational Culture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  <w:r w:rsidRPr="00A74D93">
              <w:rPr>
                <w:rFonts w:eastAsia="標楷體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  <w:spacing w:val="-20"/>
              </w:rPr>
            </w:pPr>
            <w:r w:rsidRPr="00A74D93">
              <w:rPr>
                <w:rFonts w:eastAsia="標楷體"/>
                <w:spacing w:val="-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thinThickSmallGap" w:sz="18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16" w:type="dxa"/>
            <w:vMerge/>
            <w:tcBorders>
              <w:bottom w:val="thinThickSmallGap" w:sz="18" w:space="0" w:color="auto"/>
              <w:right w:val="thickThinSmallGap" w:sz="12" w:space="0" w:color="auto"/>
            </w:tcBorders>
          </w:tcPr>
          <w:p w:rsidR="00C55DD9" w:rsidRPr="00A74D93" w:rsidRDefault="00C55DD9" w:rsidP="0002037F">
            <w:pPr>
              <w:widowControl/>
              <w:autoSpaceDE w:val="0"/>
              <w:autoSpaceDN w:val="0"/>
              <w:spacing w:before="40" w:after="40"/>
              <w:ind w:left="-568"/>
              <w:textAlignment w:val="bottom"/>
              <w:rPr>
                <w:rFonts w:eastAsia="標楷體"/>
              </w:rPr>
            </w:pPr>
          </w:p>
        </w:tc>
      </w:tr>
    </w:tbl>
    <w:p w:rsidR="00C55DD9" w:rsidRPr="00A74D93" w:rsidRDefault="00C55DD9" w:rsidP="00C55DD9">
      <w:pPr>
        <w:rPr>
          <w:rFonts w:eastAsia="標楷體"/>
        </w:rPr>
      </w:pPr>
    </w:p>
    <w:p w:rsidR="00C55DD9" w:rsidRPr="00A74D93" w:rsidRDefault="00C55DD9" w:rsidP="00C55DD9">
      <w:pPr>
        <w:rPr>
          <w:rFonts w:eastAsia="標楷體"/>
        </w:rPr>
      </w:pPr>
    </w:p>
    <w:p w:rsidR="00C55DD9" w:rsidRPr="00A74D93" w:rsidRDefault="00C55DD9" w:rsidP="00C55DD9">
      <w:pPr>
        <w:spacing w:line="0" w:lineRule="atLeast"/>
        <w:ind w:left="480" w:firstLine="280"/>
        <w:jc w:val="center"/>
        <w:rPr>
          <w:rFonts w:eastAsia="標楷體"/>
          <w:b/>
          <w:bCs/>
          <w:sz w:val="32"/>
          <w:szCs w:val="32"/>
        </w:rPr>
      </w:pPr>
    </w:p>
    <w:p w:rsidR="00C55DD9" w:rsidRPr="00A74D93" w:rsidRDefault="00C55DD9" w:rsidP="00C55DD9">
      <w:pPr>
        <w:widowControl/>
        <w:autoSpaceDE w:val="0"/>
        <w:autoSpaceDN w:val="0"/>
        <w:spacing w:line="0" w:lineRule="atLeast"/>
        <w:jc w:val="both"/>
        <w:textAlignment w:val="bottom"/>
        <w:rPr>
          <w:rFonts w:eastAsia="標楷體"/>
          <w:color w:val="000000"/>
          <w:sz w:val="22"/>
          <w:szCs w:val="22"/>
        </w:rPr>
      </w:pPr>
    </w:p>
    <w:p w:rsidR="00A66378" w:rsidRDefault="00A66378"/>
    <w:sectPr w:rsidR="00A66378" w:rsidSect="00C55DD9">
      <w:pgSz w:w="11906" w:h="16838"/>
      <w:pgMar w:top="1135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DD9"/>
    <w:rsid w:val="00A66378"/>
    <w:rsid w:val="00C55DD9"/>
    <w:rsid w:val="00FC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EDU001</dc:creator>
  <cp:lastModifiedBy>EDU001</cp:lastModifiedBy>
  <cp:revision>1</cp:revision>
  <dcterms:created xsi:type="dcterms:W3CDTF">2012-07-19T03:09:00Z</dcterms:created>
  <dcterms:modified xsi:type="dcterms:W3CDTF">2012-07-19T03:09:00Z</dcterms:modified>
</cp:coreProperties>
</file>