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0B" w:rsidRPr="00F25AAF" w:rsidRDefault="00F25AAF" w:rsidP="00F25AAF">
      <w:pPr>
        <w:spacing w:line="360" w:lineRule="auto"/>
        <w:jc w:val="center"/>
        <w:rPr>
          <w:rFonts w:ascii="Times New Roman" w:eastAsia="華康粗黑體(P)" w:hAnsi="Times New Roman" w:cs="Times New Roman"/>
          <w:color w:val="000000" w:themeColor="text1"/>
          <w:sz w:val="32"/>
          <w:szCs w:val="32"/>
        </w:rPr>
      </w:pPr>
      <w:r w:rsidRPr="00F25AAF">
        <w:rPr>
          <w:rFonts w:ascii="Times New Roman" w:eastAsia="華康粗黑體(P)" w:hAnsi="Times New Roman" w:cs="Times New Roman"/>
          <w:color w:val="000000" w:themeColor="text1"/>
          <w:kern w:val="0"/>
          <w:sz w:val="32"/>
          <w:szCs w:val="32"/>
        </w:rPr>
        <w:t>國立新竹教育大學</w:t>
      </w:r>
      <w:r w:rsidRPr="00F25AAF">
        <w:rPr>
          <w:rFonts w:ascii="Times New Roman" w:eastAsia="華康粗黑體(P)" w:hAnsi="Times New Roman" w:cs="Times New Roman"/>
          <w:color w:val="000000" w:themeColor="text1"/>
          <w:kern w:val="0"/>
          <w:sz w:val="32"/>
          <w:szCs w:val="32"/>
        </w:rPr>
        <w:t>100</w:t>
      </w:r>
      <w:r w:rsidRPr="00F25AAF">
        <w:rPr>
          <w:rFonts w:ascii="Times New Roman" w:eastAsia="華康粗黑體(P)" w:hAnsi="Times New Roman" w:cs="Times New Roman"/>
          <w:color w:val="000000" w:themeColor="text1"/>
          <w:kern w:val="0"/>
          <w:sz w:val="32"/>
          <w:szCs w:val="32"/>
        </w:rPr>
        <w:t>學年度教育系教師國科會研究計畫</w:t>
      </w:r>
    </w:p>
    <w:tbl>
      <w:tblPr>
        <w:tblStyle w:val="1-1"/>
        <w:tblW w:w="13657" w:type="dxa"/>
        <w:tblInd w:w="108" w:type="dxa"/>
        <w:tblLook w:val="04A0"/>
      </w:tblPr>
      <w:tblGrid>
        <w:gridCol w:w="1418"/>
        <w:gridCol w:w="1701"/>
        <w:gridCol w:w="10538"/>
      </w:tblGrid>
      <w:tr w:rsidR="00F25AAF" w:rsidRPr="00B25E0B" w:rsidTr="007E0D71">
        <w:trPr>
          <w:cnfStyle w:val="100000000000"/>
          <w:trHeight w:val="405"/>
        </w:trPr>
        <w:tc>
          <w:tcPr>
            <w:cnfStyle w:val="001000000000"/>
            <w:tcW w:w="1418" w:type="dxa"/>
            <w:hideMark/>
          </w:tcPr>
          <w:p w:rsidR="00F25AAF" w:rsidRPr="00B25E0B" w:rsidRDefault="00F25AAF" w:rsidP="007E0D71">
            <w:pPr>
              <w:widowControl/>
              <w:jc w:val="center"/>
              <w:rPr>
                <w:rFonts w:ascii="新細明體" w:eastAsia="新細明體" w:hAnsi="新細明體" w:cs="新細明體"/>
                <w:kern w:val="0"/>
                <w:szCs w:val="24"/>
              </w:rPr>
            </w:pPr>
            <w:hyperlink r:id="rId6" w:history="1">
              <w:r w:rsidRPr="00467D77">
                <w:rPr>
                  <w:rFonts w:ascii="新細明體" w:eastAsia="新細明體" w:hAnsi="新細明體" w:cs="新細明體" w:hint="eastAsia"/>
                  <w:kern w:val="0"/>
                  <w:szCs w:val="24"/>
                </w:rPr>
                <w:t>計畫年度</w:t>
              </w:r>
            </w:hyperlink>
          </w:p>
        </w:tc>
        <w:tc>
          <w:tcPr>
            <w:tcW w:w="1701" w:type="dxa"/>
            <w:hideMark/>
          </w:tcPr>
          <w:p w:rsidR="00F25AAF" w:rsidRPr="00B25E0B" w:rsidRDefault="00F25AAF" w:rsidP="007E0D71">
            <w:pPr>
              <w:widowControl/>
              <w:jc w:val="center"/>
              <w:cnfStyle w:val="100000000000"/>
              <w:rPr>
                <w:rFonts w:ascii="新細明體" w:eastAsia="新細明體" w:hAnsi="新細明體" w:cs="新細明體"/>
                <w:kern w:val="0"/>
                <w:szCs w:val="24"/>
              </w:rPr>
            </w:pPr>
            <w:hyperlink r:id="rId7" w:history="1">
              <w:r w:rsidRPr="00467D77">
                <w:rPr>
                  <w:rFonts w:ascii="新細明體" w:eastAsia="新細明體" w:hAnsi="新細明體" w:cs="新細明體" w:hint="eastAsia"/>
                  <w:kern w:val="0"/>
                  <w:szCs w:val="24"/>
                </w:rPr>
                <w:t>主持人姓名</w:t>
              </w:r>
            </w:hyperlink>
          </w:p>
        </w:tc>
        <w:tc>
          <w:tcPr>
            <w:tcW w:w="10538" w:type="dxa"/>
            <w:noWrap/>
            <w:hideMark/>
          </w:tcPr>
          <w:p w:rsidR="00F25AAF" w:rsidRPr="00B25E0B" w:rsidRDefault="00F25AAF" w:rsidP="007E0D71">
            <w:pPr>
              <w:widowControl/>
              <w:jc w:val="center"/>
              <w:cnfStyle w:val="100000000000"/>
              <w:rPr>
                <w:rFonts w:ascii="新細明體" w:eastAsia="新細明體" w:hAnsi="新細明體" w:cs="新細明體"/>
                <w:kern w:val="0"/>
                <w:szCs w:val="24"/>
              </w:rPr>
            </w:pPr>
            <w:r w:rsidRPr="00B25E0B">
              <w:rPr>
                <w:rFonts w:ascii="新細明體" w:eastAsia="新細明體" w:hAnsi="新細明體" w:cs="新細明體" w:hint="eastAsia"/>
                <w:kern w:val="0"/>
                <w:szCs w:val="24"/>
              </w:rPr>
              <w:t>內容</w:t>
            </w:r>
          </w:p>
        </w:tc>
      </w:tr>
      <w:tr w:rsidR="00F25AAF" w:rsidRPr="00B25E0B" w:rsidTr="007E0D71">
        <w:trPr>
          <w:cnfStyle w:val="000000100000"/>
          <w:trHeight w:val="405"/>
        </w:trPr>
        <w:tc>
          <w:tcPr>
            <w:cnfStyle w:val="001000000000"/>
            <w:tcW w:w="1418" w:type="dxa"/>
            <w:vMerge w:val="restart"/>
            <w:hideMark/>
          </w:tcPr>
          <w:p w:rsidR="00F25AAF" w:rsidRPr="00B25E0B" w:rsidRDefault="00F25AAF" w:rsidP="007E0D71">
            <w:pPr>
              <w:widowControl/>
              <w:jc w:val="center"/>
              <w:rPr>
                <w:rFonts w:ascii="新細明體" w:eastAsia="新細明體" w:hAnsi="新細明體" w:cs="新細明體"/>
                <w:color w:val="333333"/>
                <w:kern w:val="0"/>
                <w:szCs w:val="24"/>
              </w:rPr>
            </w:pPr>
            <w:r>
              <w:rPr>
                <w:rFonts w:ascii="新細明體" w:eastAsia="新細明體" w:hAnsi="新細明體" w:cs="新細明體" w:hint="eastAsia"/>
                <w:color w:val="333333"/>
                <w:kern w:val="0"/>
                <w:szCs w:val="24"/>
              </w:rPr>
              <w:t>100</w:t>
            </w:r>
          </w:p>
        </w:tc>
        <w:tc>
          <w:tcPr>
            <w:tcW w:w="1701" w:type="dxa"/>
            <w:vMerge w:val="restart"/>
            <w:hideMark/>
          </w:tcPr>
          <w:p w:rsidR="00F25AAF" w:rsidRPr="00B25E0B" w:rsidRDefault="00F25AAF" w:rsidP="007E0D71">
            <w:pPr>
              <w:widowControl/>
              <w:jc w:val="center"/>
              <w:cnfStyle w:val="000000100000"/>
              <w:rPr>
                <w:rFonts w:ascii="新細明體" w:eastAsia="新細明體" w:hAnsi="新細明體" w:cs="新細明體"/>
                <w:color w:val="333333"/>
                <w:kern w:val="0"/>
                <w:szCs w:val="24"/>
              </w:rPr>
            </w:pPr>
            <w:r w:rsidRPr="00B25E0B">
              <w:rPr>
                <w:rFonts w:ascii="新細明體" w:eastAsia="新細明體" w:hAnsi="新細明體" w:cs="新細明體" w:hint="eastAsia"/>
                <w:color w:val="333333"/>
                <w:kern w:val="0"/>
                <w:szCs w:val="24"/>
              </w:rPr>
              <w:t>沈姍姍</w:t>
            </w:r>
          </w:p>
        </w:tc>
        <w:tc>
          <w:tcPr>
            <w:tcW w:w="10538" w:type="dxa"/>
            <w:hideMark/>
          </w:tcPr>
          <w:p w:rsidR="00F25AAF" w:rsidRPr="00B25E0B" w:rsidRDefault="00F25AAF" w:rsidP="007E0D71">
            <w:pPr>
              <w:widowControl/>
              <w:cnfStyle w:val="000000100000"/>
              <w:rPr>
                <w:rFonts w:ascii="新細明體" w:eastAsia="新細明體" w:hAnsi="新細明體" w:cs="新細明體"/>
                <w:color w:val="333333"/>
                <w:kern w:val="0"/>
                <w:szCs w:val="24"/>
              </w:rPr>
            </w:pPr>
            <w:r w:rsidRPr="00B25E0B">
              <w:rPr>
                <w:rFonts w:ascii="新細明體" w:eastAsia="新細明體" w:hAnsi="新細明體" w:cs="新細明體" w:hint="eastAsia"/>
                <w:b/>
                <w:color w:val="333333"/>
                <w:kern w:val="0"/>
                <w:szCs w:val="24"/>
              </w:rPr>
              <w:t>考試 / 篩選機制對教育供應與社會公平之影響--英美與台灣之比較研究</w:t>
            </w:r>
          </w:p>
        </w:tc>
      </w:tr>
      <w:tr w:rsidR="00F25AAF" w:rsidRPr="00B25E0B" w:rsidTr="007E0D71">
        <w:trPr>
          <w:cnfStyle w:val="000000010000"/>
          <w:trHeight w:val="405"/>
        </w:trPr>
        <w:tc>
          <w:tcPr>
            <w:cnfStyle w:val="001000000000"/>
            <w:tcW w:w="1418" w:type="dxa"/>
            <w:vMerge/>
            <w:hideMark/>
          </w:tcPr>
          <w:p w:rsidR="00F25AAF" w:rsidRPr="00B25E0B" w:rsidRDefault="00F25AAF" w:rsidP="007E0D71">
            <w:pPr>
              <w:widowControl/>
              <w:rPr>
                <w:rFonts w:ascii="新細明體" w:eastAsia="新細明體" w:hAnsi="新細明體" w:cs="新細明體"/>
                <w:color w:val="333333"/>
                <w:kern w:val="0"/>
                <w:szCs w:val="24"/>
              </w:rPr>
            </w:pPr>
          </w:p>
        </w:tc>
        <w:tc>
          <w:tcPr>
            <w:tcW w:w="1701" w:type="dxa"/>
            <w:vMerge/>
            <w:hideMark/>
          </w:tcPr>
          <w:p w:rsidR="00F25AAF" w:rsidRPr="00B25E0B" w:rsidRDefault="00F25AAF" w:rsidP="007E0D71">
            <w:pPr>
              <w:widowControl/>
              <w:jc w:val="center"/>
              <w:cnfStyle w:val="000000010000"/>
              <w:rPr>
                <w:rFonts w:ascii="新細明體" w:eastAsia="新細明體" w:hAnsi="新細明體" w:cs="新細明體"/>
                <w:color w:val="333333"/>
                <w:kern w:val="0"/>
                <w:szCs w:val="24"/>
              </w:rPr>
            </w:pPr>
          </w:p>
        </w:tc>
        <w:tc>
          <w:tcPr>
            <w:tcW w:w="10538" w:type="dxa"/>
            <w:hideMark/>
          </w:tcPr>
          <w:p w:rsidR="00F25AAF" w:rsidRPr="00B25E0B" w:rsidRDefault="00F25AAF" w:rsidP="007E0D71">
            <w:pPr>
              <w:widowControl/>
              <w:cnfStyle w:val="000000010000"/>
              <w:rPr>
                <w:rFonts w:ascii="新細明體" w:eastAsia="新細明體" w:hAnsi="新細明體" w:cs="新細明體"/>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：2010/08/01~2012/07/31</w:t>
            </w:r>
          </w:p>
        </w:tc>
      </w:tr>
      <w:tr w:rsidR="00F25AAF" w:rsidRPr="00B25E0B" w:rsidTr="007E0D71">
        <w:trPr>
          <w:cnfStyle w:val="000000100000"/>
          <w:trHeight w:val="405"/>
        </w:trPr>
        <w:tc>
          <w:tcPr>
            <w:cnfStyle w:val="001000000000"/>
            <w:tcW w:w="1418" w:type="dxa"/>
            <w:vMerge/>
            <w:hideMark/>
          </w:tcPr>
          <w:p w:rsidR="00F25AAF" w:rsidRPr="00B25E0B" w:rsidRDefault="00F25AAF" w:rsidP="007E0D71">
            <w:pPr>
              <w:widowControl/>
              <w:rPr>
                <w:rFonts w:ascii="新細明體" w:eastAsia="新細明體" w:hAnsi="新細明體" w:cs="新細明體"/>
                <w:color w:val="333333"/>
                <w:kern w:val="0"/>
                <w:szCs w:val="24"/>
              </w:rPr>
            </w:pPr>
          </w:p>
        </w:tc>
        <w:tc>
          <w:tcPr>
            <w:tcW w:w="1701" w:type="dxa"/>
            <w:vMerge/>
            <w:hideMark/>
          </w:tcPr>
          <w:p w:rsidR="00F25AAF" w:rsidRPr="00B25E0B" w:rsidRDefault="00F25AAF" w:rsidP="007E0D71">
            <w:pPr>
              <w:widowControl/>
              <w:jc w:val="center"/>
              <w:cnfStyle w:val="000000100000"/>
              <w:rPr>
                <w:rFonts w:ascii="新細明體" w:eastAsia="新細明體" w:hAnsi="新細明體" w:cs="新細明體"/>
                <w:color w:val="333333"/>
                <w:kern w:val="0"/>
                <w:szCs w:val="24"/>
              </w:rPr>
            </w:pPr>
          </w:p>
        </w:tc>
        <w:tc>
          <w:tcPr>
            <w:tcW w:w="10538" w:type="dxa"/>
            <w:hideMark/>
          </w:tcPr>
          <w:p w:rsidR="00F25AAF" w:rsidRPr="00B25E0B" w:rsidRDefault="00F25AAF" w:rsidP="007E0D71">
            <w:pPr>
              <w:widowControl/>
              <w:cnfStyle w:val="000000100000"/>
              <w:rPr>
                <w:rFonts w:ascii="新細明體" w:eastAsia="新細明體" w:hAnsi="新細明體" w:cs="新細明體"/>
                <w:kern w:val="0"/>
                <w:szCs w:val="24"/>
              </w:rPr>
            </w:pPr>
            <w:r w:rsidRPr="00B25E0B">
              <w:rPr>
                <w:rFonts w:ascii="新細明體" w:eastAsia="新細明體" w:hAnsi="新細明體" w:cs="新細明體" w:hint="eastAsia"/>
                <w:kern w:val="0"/>
                <w:szCs w:val="24"/>
              </w:rPr>
              <w:t>備註</w:t>
            </w:r>
            <w:r w:rsidRPr="00B25E0B">
              <w:rPr>
                <w:rFonts w:ascii="新細明體" w:eastAsia="新細明體" w:hAnsi="新細明體" w:cs="新細明體" w:hint="eastAsia"/>
                <w:color w:val="333333"/>
                <w:kern w:val="0"/>
                <w:szCs w:val="24"/>
              </w:rPr>
              <w:t>：</w:t>
            </w:r>
            <w:r>
              <w:rPr>
                <w:rFonts w:ascii="新細明體" w:eastAsia="新細明體" w:hAnsi="新細明體" w:cs="新細明體" w:hint="eastAsia"/>
                <w:color w:val="333333"/>
                <w:kern w:val="0"/>
                <w:szCs w:val="24"/>
              </w:rPr>
              <w:t>二年期第2期</w:t>
            </w:r>
          </w:p>
        </w:tc>
      </w:tr>
      <w:tr w:rsidR="00F25AAF" w:rsidRPr="00B25E0B" w:rsidTr="007E0D71">
        <w:trPr>
          <w:cnfStyle w:val="000000010000"/>
          <w:trHeight w:val="795"/>
        </w:trPr>
        <w:tc>
          <w:tcPr>
            <w:cnfStyle w:val="001000000000"/>
            <w:tcW w:w="1418" w:type="dxa"/>
            <w:vMerge w:val="restart"/>
            <w:hideMark/>
          </w:tcPr>
          <w:p w:rsidR="00F25AAF" w:rsidRPr="00B25E0B" w:rsidRDefault="00F25AAF" w:rsidP="007E0D71">
            <w:pPr>
              <w:widowControl/>
              <w:jc w:val="center"/>
              <w:rPr>
                <w:rFonts w:ascii="新細明體" w:eastAsia="新細明體" w:hAnsi="新細明體" w:cs="新細明體"/>
                <w:color w:val="333333"/>
                <w:kern w:val="0"/>
                <w:szCs w:val="24"/>
              </w:rPr>
            </w:pPr>
            <w:r>
              <w:rPr>
                <w:rFonts w:ascii="新細明體" w:eastAsia="新細明體" w:hAnsi="新細明體" w:cs="新細明體" w:hint="eastAsia"/>
                <w:color w:val="333333"/>
                <w:kern w:val="0"/>
                <w:szCs w:val="24"/>
              </w:rPr>
              <w:t>100</w:t>
            </w:r>
          </w:p>
        </w:tc>
        <w:tc>
          <w:tcPr>
            <w:tcW w:w="1701" w:type="dxa"/>
            <w:vMerge w:val="restart"/>
            <w:hideMark/>
          </w:tcPr>
          <w:p w:rsidR="00F25AAF" w:rsidRPr="00B25E0B" w:rsidRDefault="00F25AAF" w:rsidP="007E0D71">
            <w:pPr>
              <w:widowControl/>
              <w:jc w:val="center"/>
              <w:cnfStyle w:val="000000010000"/>
              <w:rPr>
                <w:rFonts w:ascii="新細明體" w:eastAsia="新細明體" w:hAnsi="新細明體" w:cs="新細明體"/>
                <w:color w:val="333333"/>
                <w:kern w:val="0"/>
                <w:szCs w:val="24"/>
              </w:rPr>
            </w:pPr>
            <w:r w:rsidRPr="00B25E0B">
              <w:rPr>
                <w:rFonts w:ascii="新細明體" w:eastAsia="新細明體" w:hAnsi="新細明體" w:cs="新細明體" w:hint="eastAsia"/>
                <w:color w:val="333333"/>
                <w:kern w:val="0"/>
                <w:szCs w:val="24"/>
              </w:rPr>
              <w:t>王子華</w:t>
            </w:r>
          </w:p>
        </w:tc>
        <w:tc>
          <w:tcPr>
            <w:tcW w:w="10538" w:type="dxa"/>
            <w:hideMark/>
          </w:tcPr>
          <w:p w:rsidR="00F25AAF" w:rsidRPr="00B25E0B" w:rsidRDefault="00F25AAF" w:rsidP="007E0D71">
            <w:pPr>
              <w:widowControl/>
              <w:cnfStyle w:val="000000010000"/>
              <w:rPr>
                <w:rFonts w:ascii="新細明體" w:eastAsia="新細明體" w:hAnsi="新細明體" w:cs="新細明體"/>
                <w:b/>
                <w:color w:val="333333"/>
                <w:kern w:val="0"/>
                <w:szCs w:val="24"/>
              </w:rPr>
            </w:pPr>
            <w:r w:rsidRPr="00B25E0B">
              <w:rPr>
                <w:rFonts w:ascii="新細明體" w:eastAsia="新細明體" w:hAnsi="新細明體" w:cs="新細明體" w:hint="eastAsia"/>
                <w:b/>
                <w:color w:val="333333"/>
                <w:kern w:val="0"/>
                <w:szCs w:val="24"/>
              </w:rPr>
              <w:t>應用資訊通訊技術發展網路化心智模式診斷</w:t>
            </w:r>
            <w:proofErr w:type="gramStart"/>
            <w:r w:rsidRPr="00B25E0B">
              <w:rPr>
                <w:rFonts w:ascii="新細明體" w:eastAsia="新細明體" w:hAnsi="新細明體" w:cs="新細明體" w:hint="eastAsia"/>
                <w:b/>
                <w:color w:val="333333"/>
                <w:kern w:val="0"/>
                <w:szCs w:val="24"/>
              </w:rPr>
              <w:t>系統與課室</w:t>
            </w:r>
            <w:proofErr w:type="gramEnd"/>
            <w:r w:rsidRPr="00B25E0B">
              <w:rPr>
                <w:rFonts w:ascii="新細明體" w:eastAsia="新細明體" w:hAnsi="新細明體" w:cs="新細明體" w:hint="eastAsia"/>
                <w:b/>
                <w:color w:val="333333"/>
                <w:kern w:val="0"/>
                <w:szCs w:val="24"/>
              </w:rPr>
              <w:t>互動式數位教材以改善學生科學概念學習之研究</w:t>
            </w:r>
          </w:p>
        </w:tc>
      </w:tr>
      <w:tr w:rsidR="00F25AAF" w:rsidRPr="00B25E0B" w:rsidTr="007E0D71">
        <w:trPr>
          <w:cnfStyle w:val="000000100000"/>
          <w:trHeight w:val="405"/>
        </w:trPr>
        <w:tc>
          <w:tcPr>
            <w:cnfStyle w:val="001000000000"/>
            <w:tcW w:w="1418" w:type="dxa"/>
            <w:vMerge/>
            <w:hideMark/>
          </w:tcPr>
          <w:p w:rsidR="00F25AAF" w:rsidRPr="00B25E0B" w:rsidRDefault="00F25AAF" w:rsidP="007E0D71">
            <w:pPr>
              <w:widowControl/>
              <w:rPr>
                <w:rFonts w:ascii="新細明體" w:eastAsia="新細明體" w:hAnsi="新細明體" w:cs="新細明體"/>
                <w:color w:val="333333"/>
                <w:kern w:val="0"/>
                <w:szCs w:val="24"/>
              </w:rPr>
            </w:pPr>
          </w:p>
        </w:tc>
        <w:tc>
          <w:tcPr>
            <w:tcW w:w="1701" w:type="dxa"/>
            <w:vMerge/>
            <w:hideMark/>
          </w:tcPr>
          <w:p w:rsidR="00F25AAF" w:rsidRPr="00B25E0B" w:rsidRDefault="00F25AAF" w:rsidP="007E0D71">
            <w:pPr>
              <w:widowControl/>
              <w:jc w:val="center"/>
              <w:cnfStyle w:val="000000100000"/>
              <w:rPr>
                <w:rFonts w:ascii="新細明體" w:eastAsia="新細明體" w:hAnsi="新細明體" w:cs="新細明體"/>
                <w:color w:val="333333"/>
                <w:kern w:val="0"/>
                <w:szCs w:val="24"/>
              </w:rPr>
            </w:pPr>
          </w:p>
        </w:tc>
        <w:tc>
          <w:tcPr>
            <w:tcW w:w="10538" w:type="dxa"/>
            <w:hideMark/>
          </w:tcPr>
          <w:p w:rsidR="00F25AAF" w:rsidRPr="00B25E0B" w:rsidRDefault="00F25AAF" w:rsidP="007E0D71">
            <w:pPr>
              <w:widowControl/>
              <w:cnfStyle w:val="000000100000"/>
              <w:rPr>
                <w:rFonts w:ascii="新細明體" w:eastAsia="新細明體" w:hAnsi="新細明體" w:cs="新細明體"/>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：2010/08/01~2013/07/31</w:t>
            </w:r>
          </w:p>
        </w:tc>
      </w:tr>
      <w:tr w:rsidR="00F25AAF" w:rsidRPr="00B25E0B" w:rsidTr="007E0D71">
        <w:trPr>
          <w:cnfStyle w:val="000000010000"/>
          <w:trHeight w:val="405"/>
        </w:trPr>
        <w:tc>
          <w:tcPr>
            <w:cnfStyle w:val="001000000000"/>
            <w:tcW w:w="1418" w:type="dxa"/>
            <w:vMerge/>
            <w:hideMark/>
          </w:tcPr>
          <w:p w:rsidR="00F25AAF" w:rsidRPr="00B25E0B" w:rsidRDefault="00F25AAF" w:rsidP="007E0D71">
            <w:pPr>
              <w:widowControl/>
              <w:rPr>
                <w:rFonts w:ascii="新細明體" w:eastAsia="新細明體" w:hAnsi="新細明體" w:cs="新細明體"/>
                <w:color w:val="333333"/>
                <w:kern w:val="0"/>
                <w:szCs w:val="24"/>
              </w:rPr>
            </w:pPr>
          </w:p>
        </w:tc>
        <w:tc>
          <w:tcPr>
            <w:tcW w:w="1701" w:type="dxa"/>
            <w:vMerge/>
            <w:hideMark/>
          </w:tcPr>
          <w:p w:rsidR="00F25AAF" w:rsidRPr="00B25E0B" w:rsidRDefault="00F25AAF" w:rsidP="007E0D71">
            <w:pPr>
              <w:widowControl/>
              <w:jc w:val="center"/>
              <w:cnfStyle w:val="000000010000"/>
              <w:rPr>
                <w:rFonts w:ascii="新細明體" w:eastAsia="新細明體" w:hAnsi="新細明體" w:cs="新細明體"/>
                <w:color w:val="333333"/>
                <w:kern w:val="0"/>
                <w:szCs w:val="24"/>
              </w:rPr>
            </w:pPr>
          </w:p>
        </w:tc>
        <w:tc>
          <w:tcPr>
            <w:tcW w:w="10538" w:type="dxa"/>
            <w:hideMark/>
          </w:tcPr>
          <w:p w:rsidR="00F25AAF" w:rsidRPr="00B25E0B" w:rsidRDefault="00F25AAF" w:rsidP="007E0D71">
            <w:pPr>
              <w:widowControl/>
              <w:cnfStyle w:val="000000010000"/>
              <w:rPr>
                <w:rFonts w:ascii="新細明體" w:eastAsia="新細明體" w:hAnsi="新細明體" w:cs="新細明體"/>
                <w:color w:val="0000FF"/>
                <w:kern w:val="0"/>
                <w:szCs w:val="24"/>
                <w:u w:val="single"/>
              </w:rPr>
            </w:pPr>
            <w:r w:rsidRPr="00B25E0B">
              <w:rPr>
                <w:rFonts w:ascii="新細明體" w:eastAsia="新細明體" w:hAnsi="新細明體" w:cs="新細明體" w:hint="eastAsia"/>
                <w:kern w:val="0"/>
                <w:szCs w:val="24"/>
              </w:rPr>
              <w:t>備註</w:t>
            </w:r>
            <w:r w:rsidRPr="00B25E0B">
              <w:rPr>
                <w:rFonts w:ascii="新細明體" w:eastAsia="新細明體" w:hAnsi="新細明體" w:cs="新細明體" w:hint="eastAsia"/>
                <w:color w:val="333333"/>
                <w:kern w:val="0"/>
                <w:szCs w:val="24"/>
              </w:rPr>
              <w:t>：</w:t>
            </w:r>
            <w:r>
              <w:rPr>
                <w:rFonts w:ascii="新細明體" w:eastAsia="新細明體" w:hAnsi="新細明體" w:cs="新細明體" w:hint="eastAsia"/>
                <w:color w:val="333333"/>
                <w:kern w:val="0"/>
                <w:szCs w:val="24"/>
              </w:rPr>
              <w:t>三年期第2期</w:t>
            </w:r>
          </w:p>
        </w:tc>
      </w:tr>
      <w:tr w:rsidR="00F25AAF" w:rsidRPr="00B25E0B" w:rsidTr="007E0D71">
        <w:trPr>
          <w:cnfStyle w:val="000000100000"/>
          <w:trHeight w:val="330"/>
        </w:trPr>
        <w:tc>
          <w:tcPr>
            <w:cnfStyle w:val="001000000000"/>
            <w:tcW w:w="1418" w:type="dxa"/>
            <w:vMerge w:val="restart"/>
            <w:hideMark/>
          </w:tcPr>
          <w:p w:rsidR="00F25AAF" w:rsidRPr="00B25E0B" w:rsidRDefault="00F25AAF" w:rsidP="007E0D71">
            <w:pPr>
              <w:widowControl/>
              <w:jc w:val="center"/>
              <w:rPr>
                <w:rFonts w:ascii="新細明體" w:eastAsia="新細明體" w:hAnsi="新細明體" w:cs="新細明體"/>
                <w:color w:val="333333"/>
                <w:kern w:val="0"/>
                <w:szCs w:val="24"/>
              </w:rPr>
            </w:pPr>
            <w:r>
              <w:rPr>
                <w:rFonts w:ascii="新細明體" w:eastAsia="新細明體" w:hAnsi="新細明體" w:cs="新細明體" w:hint="eastAsia"/>
                <w:color w:val="333333"/>
                <w:kern w:val="0"/>
                <w:szCs w:val="24"/>
              </w:rPr>
              <w:t>100</w:t>
            </w:r>
          </w:p>
        </w:tc>
        <w:tc>
          <w:tcPr>
            <w:tcW w:w="1701" w:type="dxa"/>
            <w:vMerge w:val="restart"/>
            <w:hideMark/>
          </w:tcPr>
          <w:p w:rsidR="00F25AAF" w:rsidRPr="00B25E0B" w:rsidRDefault="00F25AAF" w:rsidP="007E0D71">
            <w:pPr>
              <w:widowControl/>
              <w:jc w:val="center"/>
              <w:cnfStyle w:val="000000100000"/>
              <w:rPr>
                <w:rFonts w:ascii="新細明體" w:eastAsia="新細明體" w:hAnsi="新細明體" w:cs="新細明體"/>
                <w:color w:val="333333"/>
                <w:kern w:val="0"/>
                <w:szCs w:val="24"/>
              </w:rPr>
            </w:pPr>
            <w:r w:rsidRPr="00B25E0B">
              <w:rPr>
                <w:rFonts w:ascii="新細明體" w:eastAsia="新細明體" w:hAnsi="新細明體" w:cs="新細明體" w:hint="eastAsia"/>
                <w:color w:val="333333"/>
                <w:kern w:val="0"/>
                <w:szCs w:val="24"/>
              </w:rPr>
              <w:t>蘇永明</w:t>
            </w:r>
          </w:p>
        </w:tc>
        <w:tc>
          <w:tcPr>
            <w:tcW w:w="10538" w:type="dxa"/>
            <w:hideMark/>
          </w:tcPr>
          <w:p w:rsidR="00F25AAF" w:rsidRPr="00B25E0B" w:rsidRDefault="00F25AAF" w:rsidP="007E0D71">
            <w:pPr>
              <w:widowControl/>
              <w:cnfStyle w:val="000000100000"/>
              <w:rPr>
                <w:rFonts w:ascii="新細明體" w:eastAsia="新細明體" w:hAnsi="新細明體" w:cs="新細明體"/>
                <w:b/>
                <w:color w:val="333333"/>
                <w:kern w:val="0"/>
                <w:szCs w:val="24"/>
              </w:rPr>
            </w:pPr>
            <w:r w:rsidRPr="00B25E0B">
              <w:rPr>
                <w:rFonts w:ascii="新細明體" w:eastAsia="新細明體" w:hAnsi="新細明體" w:cs="新細明體" w:hint="eastAsia"/>
                <w:b/>
                <w:color w:val="333333"/>
                <w:kern w:val="0"/>
                <w:szCs w:val="24"/>
              </w:rPr>
              <w:t>各國「學校教育與治理研究」比較分析與我國「學校教育與治理研究」之檢討與規劃</w:t>
            </w:r>
          </w:p>
        </w:tc>
      </w:tr>
      <w:tr w:rsidR="00F25AAF" w:rsidRPr="00B25E0B" w:rsidTr="007E0D71">
        <w:trPr>
          <w:cnfStyle w:val="000000010000"/>
          <w:trHeight w:val="330"/>
        </w:trPr>
        <w:tc>
          <w:tcPr>
            <w:cnfStyle w:val="001000000000"/>
            <w:tcW w:w="1418" w:type="dxa"/>
            <w:vMerge/>
            <w:hideMark/>
          </w:tcPr>
          <w:p w:rsidR="00F25AAF" w:rsidRPr="00B25E0B" w:rsidRDefault="00F25AAF" w:rsidP="007E0D71">
            <w:pPr>
              <w:widowControl/>
              <w:rPr>
                <w:rFonts w:ascii="新細明體" w:eastAsia="新細明體" w:hAnsi="新細明體" w:cs="新細明體"/>
                <w:color w:val="333333"/>
                <w:kern w:val="0"/>
                <w:szCs w:val="24"/>
              </w:rPr>
            </w:pPr>
          </w:p>
        </w:tc>
        <w:tc>
          <w:tcPr>
            <w:tcW w:w="1701" w:type="dxa"/>
            <w:vMerge/>
            <w:hideMark/>
          </w:tcPr>
          <w:p w:rsidR="00F25AAF" w:rsidRPr="00B25E0B" w:rsidRDefault="00F25AAF" w:rsidP="007E0D71">
            <w:pPr>
              <w:widowControl/>
              <w:jc w:val="center"/>
              <w:cnfStyle w:val="000000010000"/>
              <w:rPr>
                <w:rFonts w:ascii="新細明體" w:eastAsia="新細明體" w:hAnsi="新細明體" w:cs="新細明體"/>
                <w:color w:val="333333"/>
                <w:kern w:val="0"/>
                <w:szCs w:val="24"/>
              </w:rPr>
            </w:pPr>
          </w:p>
        </w:tc>
        <w:tc>
          <w:tcPr>
            <w:tcW w:w="10538" w:type="dxa"/>
            <w:hideMark/>
          </w:tcPr>
          <w:p w:rsidR="00F25AAF" w:rsidRPr="00B25E0B" w:rsidRDefault="00F25AAF" w:rsidP="007E0D71">
            <w:pPr>
              <w:widowControl/>
              <w:cnfStyle w:val="000000010000"/>
              <w:rPr>
                <w:rFonts w:ascii="新細明體" w:eastAsia="新細明體" w:hAnsi="新細明體" w:cs="新細明體"/>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：2010/08/01~2012/07/31</w:t>
            </w:r>
          </w:p>
        </w:tc>
      </w:tr>
      <w:tr w:rsidR="00F25AAF" w:rsidRPr="00B25E0B" w:rsidTr="007E0D71">
        <w:trPr>
          <w:cnfStyle w:val="000000100000"/>
          <w:trHeight w:val="330"/>
        </w:trPr>
        <w:tc>
          <w:tcPr>
            <w:cnfStyle w:val="001000000000"/>
            <w:tcW w:w="1418" w:type="dxa"/>
            <w:vMerge/>
            <w:hideMark/>
          </w:tcPr>
          <w:p w:rsidR="00F25AAF" w:rsidRPr="00B25E0B" w:rsidRDefault="00F25AAF" w:rsidP="007E0D71">
            <w:pPr>
              <w:widowControl/>
              <w:rPr>
                <w:rFonts w:ascii="新細明體" w:eastAsia="新細明體" w:hAnsi="新細明體" w:cs="新細明體"/>
                <w:color w:val="333333"/>
                <w:kern w:val="0"/>
                <w:szCs w:val="24"/>
              </w:rPr>
            </w:pPr>
          </w:p>
        </w:tc>
        <w:tc>
          <w:tcPr>
            <w:tcW w:w="1701" w:type="dxa"/>
            <w:vMerge/>
            <w:hideMark/>
          </w:tcPr>
          <w:p w:rsidR="00F25AAF" w:rsidRPr="00B25E0B" w:rsidRDefault="00F25AAF" w:rsidP="007E0D71">
            <w:pPr>
              <w:widowControl/>
              <w:jc w:val="center"/>
              <w:cnfStyle w:val="000000100000"/>
              <w:rPr>
                <w:rFonts w:ascii="新細明體" w:eastAsia="新細明體" w:hAnsi="新細明體" w:cs="新細明體"/>
                <w:color w:val="333333"/>
                <w:kern w:val="0"/>
                <w:szCs w:val="24"/>
              </w:rPr>
            </w:pPr>
          </w:p>
        </w:tc>
        <w:tc>
          <w:tcPr>
            <w:tcW w:w="10538" w:type="dxa"/>
            <w:hideMark/>
          </w:tcPr>
          <w:p w:rsidR="00F25AAF" w:rsidRPr="00B25E0B" w:rsidRDefault="00F25AAF" w:rsidP="007E0D71">
            <w:pPr>
              <w:widowControl/>
              <w:cnfStyle w:val="000000100000"/>
              <w:rPr>
                <w:rFonts w:ascii="新細明體" w:eastAsia="新細明體" w:hAnsi="新細明體" w:cs="新細明體"/>
                <w:color w:val="0000FF"/>
                <w:kern w:val="0"/>
                <w:szCs w:val="24"/>
                <w:u w:val="single"/>
              </w:rPr>
            </w:pPr>
            <w:r w:rsidRPr="00B25E0B">
              <w:rPr>
                <w:rFonts w:ascii="新細明體" w:eastAsia="新細明體" w:hAnsi="新細明體" w:cs="新細明體" w:hint="eastAsia"/>
                <w:kern w:val="0"/>
                <w:szCs w:val="24"/>
              </w:rPr>
              <w:t>備註</w:t>
            </w:r>
            <w:r w:rsidRPr="00B25E0B">
              <w:rPr>
                <w:rFonts w:ascii="新細明體" w:eastAsia="新細明體" w:hAnsi="新細明體" w:cs="新細明體" w:hint="eastAsia"/>
                <w:color w:val="333333"/>
                <w:kern w:val="0"/>
                <w:szCs w:val="24"/>
              </w:rPr>
              <w:t>：</w:t>
            </w:r>
            <w:r>
              <w:rPr>
                <w:rFonts w:ascii="新細明體" w:eastAsia="新細明體" w:hAnsi="新細明體" w:cs="新細明體" w:hint="eastAsia"/>
                <w:color w:val="333333"/>
                <w:kern w:val="0"/>
                <w:szCs w:val="24"/>
              </w:rPr>
              <w:t>二年期第2期</w:t>
            </w:r>
          </w:p>
        </w:tc>
      </w:tr>
      <w:tr w:rsidR="00F25AAF" w:rsidRPr="00B25E0B" w:rsidTr="007E0D71">
        <w:trPr>
          <w:cnfStyle w:val="000000010000"/>
          <w:trHeight w:val="330"/>
        </w:trPr>
        <w:tc>
          <w:tcPr>
            <w:cnfStyle w:val="001000000000"/>
            <w:tcW w:w="1418" w:type="dxa"/>
            <w:hideMark/>
          </w:tcPr>
          <w:p w:rsidR="00F25AAF" w:rsidRPr="00B25E0B" w:rsidRDefault="00F25AAF" w:rsidP="007E0D71">
            <w:pPr>
              <w:widowControl/>
              <w:jc w:val="center"/>
              <w:rPr>
                <w:rFonts w:ascii="新細明體" w:eastAsia="新細明體" w:hAnsi="新細明體" w:cs="新細明體"/>
                <w:color w:val="333333"/>
                <w:kern w:val="0"/>
                <w:szCs w:val="24"/>
              </w:rPr>
            </w:pPr>
            <w:r>
              <w:rPr>
                <w:rFonts w:ascii="新細明體" w:eastAsia="新細明體" w:hAnsi="新細明體" w:cs="新細明體" w:hint="eastAsia"/>
                <w:color w:val="333333"/>
                <w:kern w:val="0"/>
                <w:szCs w:val="24"/>
              </w:rPr>
              <w:t>100</w:t>
            </w:r>
          </w:p>
        </w:tc>
        <w:tc>
          <w:tcPr>
            <w:tcW w:w="1701" w:type="dxa"/>
            <w:hideMark/>
          </w:tcPr>
          <w:p w:rsidR="00F25AAF" w:rsidRPr="00B25E0B" w:rsidRDefault="00F25AAF" w:rsidP="007E0D71">
            <w:pPr>
              <w:widowControl/>
              <w:jc w:val="center"/>
              <w:cnfStyle w:val="000000010000"/>
              <w:rPr>
                <w:rFonts w:ascii="新細明體" w:eastAsia="新細明體" w:hAnsi="新細明體" w:cs="新細明體"/>
                <w:color w:val="333333"/>
                <w:kern w:val="0"/>
                <w:szCs w:val="24"/>
              </w:rPr>
            </w:pPr>
            <w:r w:rsidRPr="00B25E0B">
              <w:rPr>
                <w:rFonts w:ascii="新細明體" w:eastAsia="新細明體" w:hAnsi="新細明體" w:cs="新細明體" w:hint="eastAsia"/>
                <w:color w:val="333333"/>
                <w:kern w:val="0"/>
                <w:szCs w:val="24"/>
              </w:rPr>
              <w:t>彭煥勝</w:t>
            </w:r>
          </w:p>
        </w:tc>
        <w:tc>
          <w:tcPr>
            <w:tcW w:w="10538" w:type="dxa"/>
            <w:hideMark/>
          </w:tcPr>
          <w:p w:rsidR="00F25AAF" w:rsidRDefault="00F25AAF" w:rsidP="007E0D71">
            <w:pPr>
              <w:widowControl/>
              <w:cnfStyle w:val="000000010000"/>
              <w:rPr>
                <w:rFonts w:ascii="新細明體" w:eastAsia="新細明體" w:hAnsi="新細明體" w:cs="新細明體" w:hint="eastAsia"/>
                <w:b/>
                <w:color w:val="333333"/>
                <w:kern w:val="0"/>
                <w:szCs w:val="24"/>
              </w:rPr>
            </w:pPr>
            <w:r w:rsidRPr="00B25E0B">
              <w:rPr>
                <w:rFonts w:ascii="新細明體" w:eastAsia="新細明體" w:hAnsi="新細明體" w:cs="新細明體" w:hint="eastAsia"/>
                <w:b/>
                <w:color w:val="333333"/>
                <w:kern w:val="0"/>
                <w:szCs w:val="24"/>
              </w:rPr>
              <w:t>十九世紀美國教改之歐洲化與本土化的迎拒</w:t>
            </w:r>
          </w:p>
          <w:p w:rsidR="00F25AAF" w:rsidRPr="00FC144A" w:rsidRDefault="00F25AAF" w:rsidP="007E0D71">
            <w:pPr>
              <w:widowControl/>
              <w:cnfStyle w:val="000000010000"/>
              <w:rPr>
                <w:rFonts w:ascii="新細明體" w:eastAsia="新細明體" w:hAnsi="新細明體" w:cs="新細明體" w:hint="eastAsia"/>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：2011/08/01~2013/07/31</w:t>
            </w:r>
          </w:p>
        </w:tc>
      </w:tr>
      <w:tr w:rsidR="00F25AAF" w:rsidRPr="00B25E0B" w:rsidTr="007E0D71">
        <w:trPr>
          <w:cnfStyle w:val="000000100000"/>
          <w:trHeight w:val="330"/>
        </w:trPr>
        <w:tc>
          <w:tcPr>
            <w:cnfStyle w:val="001000000000"/>
            <w:tcW w:w="1418" w:type="dxa"/>
            <w:hideMark/>
          </w:tcPr>
          <w:p w:rsidR="00F25AAF" w:rsidRDefault="00F25AAF" w:rsidP="007E0D71">
            <w:pPr>
              <w:widowControl/>
              <w:jc w:val="center"/>
              <w:rPr>
                <w:rFonts w:ascii="新細明體" w:eastAsia="新細明體" w:hAnsi="新細明體" w:cs="新細明體" w:hint="eastAsia"/>
                <w:color w:val="333333"/>
                <w:kern w:val="0"/>
                <w:szCs w:val="24"/>
              </w:rPr>
            </w:pPr>
            <w:r>
              <w:rPr>
                <w:rFonts w:ascii="新細明體" w:eastAsia="新細明體" w:hAnsi="新細明體" w:cs="新細明體" w:hint="eastAsia"/>
                <w:color w:val="333333"/>
                <w:kern w:val="0"/>
                <w:szCs w:val="24"/>
              </w:rPr>
              <w:t>100</w:t>
            </w:r>
          </w:p>
        </w:tc>
        <w:tc>
          <w:tcPr>
            <w:tcW w:w="1701" w:type="dxa"/>
            <w:hideMark/>
          </w:tcPr>
          <w:p w:rsidR="00F25AAF" w:rsidRPr="00B25E0B" w:rsidRDefault="00F25AAF" w:rsidP="007E0D71">
            <w:pPr>
              <w:widowControl/>
              <w:jc w:val="center"/>
              <w:cnfStyle w:val="000000100000"/>
              <w:rPr>
                <w:rFonts w:ascii="新細明體" w:eastAsia="新細明體" w:hAnsi="新細明體" w:cs="新細明體" w:hint="eastAsia"/>
                <w:color w:val="333333"/>
                <w:kern w:val="0"/>
                <w:szCs w:val="24"/>
              </w:rPr>
            </w:pPr>
            <w:r w:rsidRPr="00B25E0B">
              <w:rPr>
                <w:rFonts w:ascii="新細明體" w:eastAsia="新細明體" w:hAnsi="新細明體" w:cs="新細明體" w:hint="eastAsia"/>
                <w:color w:val="333333"/>
                <w:kern w:val="0"/>
                <w:szCs w:val="24"/>
              </w:rPr>
              <w:t>李安明</w:t>
            </w:r>
          </w:p>
        </w:tc>
        <w:tc>
          <w:tcPr>
            <w:tcW w:w="10538" w:type="dxa"/>
            <w:hideMark/>
          </w:tcPr>
          <w:p w:rsidR="00F25AAF" w:rsidRDefault="00F25AAF" w:rsidP="007E0D71">
            <w:pPr>
              <w:widowControl/>
              <w:cnfStyle w:val="000000100000"/>
              <w:rPr>
                <w:rFonts w:ascii="新細明體" w:eastAsia="新細明體" w:hAnsi="新細明體" w:cs="新細明體" w:hint="eastAsia"/>
                <w:b/>
                <w:color w:val="333333"/>
                <w:kern w:val="0"/>
                <w:szCs w:val="24"/>
              </w:rPr>
            </w:pPr>
            <w:r w:rsidRPr="00B25E0B">
              <w:rPr>
                <w:rFonts w:ascii="新細明體" w:eastAsia="新細明體" w:hAnsi="新細明體" w:cs="新細明體" w:hint="eastAsia"/>
                <w:b/>
                <w:color w:val="333333"/>
                <w:kern w:val="0"/>
                <w:szCs w:val="24"/>
              </w:rPr>
              <w:t>我國國小校長教學領導：理論與實務</w:t>
            </w:r>
          </w:p>
          <w:p w:rsidR="00F25AAF" w:rsidRPr="00FC144A" w:rsidRDefault="00F25AAF" w:rsidP="007E0D71">
            <w:pPr>
              <w:widowControl/>
              <w:cnfStyle w:val="000000100000"/>
              <w:rPr>
                <w:rFonts w:ascii="新細明體" w:eastAsia="新細明體" w:hAnsi="新細明體" w:cs="新細明體" w:hint="eastAsia"/>
                <w:b/>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：2011/08/01~2012/07/31</w:t>
            </w:r>
          </w:p>
        </w:tc>
      </w:tr>
      <w:tr w:rsidR="00F25AAF" w:rsidRPr="00B25E0B" w:rsidTr="007E0D71">
        <w:trPr>
          <w:cnfStyle w:val="000000010000"/>
          <w:trHeight w:val="330"/>
        </w:trPr>
        <w:tc>
          <w:tcPr>
            <w:cnfStyle w:val="001000000000"/>
            <w:tcW w:w="1418" w:type="dxa"/>
            <w:hideMark/>
          </w:tcPr>
          <w:p w:rsidR="00F25AAF" w:rsidRDefault="00F25AAF" w:rsidP="007E0D71">
            <w:pPr>
              <w:widowControl/>
              <w:jc w:val="center"/>
              <w:rPr>
                <w:rFonts w:ascii="新細明體" w:eastAsia="新細明體" w:hAnsi="新細明體" w:cs="新細明體" w:hint="eastAsia"/>
                <w:color w:val="333333"/>
                <w:kern w:val="0"/>
                <w:szCs w:val="24"/>
              </w:rPr>
            </w:pPr>
            <w:r>
              <w:rPr>
                <w:rFonts w:ascii="新細明體" w:eastAsia="新細明體" w:hAnsi="新細明體" w:cs="新細明體" w:hint="eastAsia"/>
                <w:color w:val="333333"/>
                <w:kern w:val="0"/>
                <w:szCs w:val="24"/>
              </w:rPr>
              <w:t>100</w:t>
            </w:r>
          </w:p>
        </w:tc>
        <w:tc>
          <w:tcPr>
            <w:tcW w:w="1701" w:type="dxa"/>
            <w:hideMark/>
          </w:tcPr>
          <w:p w:rsidR="00F25AAF" w:rsidRPr="00B25E0B" w:rsidRDefault="00F25AAF" w:rsidP="007E0D71">
            <w:pPr>
              <w:widowControl/>
              <w:jc w:val="center"/>
              <w:cnfStyle w:val="000000010000"/>
              <w:rPr>
                <w:rFonts w:ascii="新細明體" w:eastAsia="新細明體" w:hAnsi="新細明體" w:cs="新細明體" w:hint="eastAsia"/>
                <w:color w:val="333333"/>
                <w:kern w:val="0"/>
                <w:szCs w:val="24"/>
              </w:rPr>
            </w:pPr>
            <w:r w:rsidRPr="00B25E0B">
              <w:rPr>
                <w:rFonts w:ascii="新細明體" w:eastAsia="新細明體" w:hAnsi="新細明體" w:cs="新細明體" w:hint="eastAsia"/>
                <w:color w:val="333333"/>
                <w:kern w:val="0"/>
                <w:szCs w:val="24"/>
              </w:rPr>
              <w:t>林紀慧</w:t>
            </w:r>
          </w:p>
        </w:tc>
        <w:tc>
          <w:tcPr>
            <w:tcW w:w="10538" w:type="dxa"/>
            <w:hideMark/>
          </w:tcPr>
          <w:p w:rsidR="00F25AAF" w:rsidRPr="00FC144A" w:rsidRDefault="00F25AAF" w:rsidP="007E0D71">
            <w:pPr>
              <w:widowControl/>
              <w:cnfStyle w:val="000000010000"/>
              <w:rPr>
                <w:rFonts w:ascii="新細明體" w:eastAsia="新細明體" w:hAnsi="新細明體" w:cs="新細明體" w:hint="eastAsia"/>
                <w:b/>
                <w:color w:val="333333"/>
                <w:kern w:val="0"/>
                <w:szCs w:val="24"/>
              </w:rPr>
            </w:pPr>
            <w:r w:rsidRPr="00B25E0B">
              <w:rPr>
                <w:rFonts w:ascii="新細明體" w:eastAsia="新細明體" w:hAnsi="新細明體" w:cs="新細明體" w:hint="eastAsia"/>
                <w:b/>
                <w:color w:val="333333"/>
                <w:kern w:val="0"/>
                <w:szCs w:val="24"/>
              </w:rPr>
              <w:t>影響電子白板融入教學互動之模式建構研究</w:t>
            </w:r>
          </w:p>
          <w:p w:rsidR="00F25AAF" w:rsidRPr="00B25E0B" w:rsidRDefault="00F25AAF" w:rsidP="007E0D71">
            <w:pPr>
              <w:widowControl/>
              <w:cnfStyle w:val="000000010000"/>
              <w:rPr>
                <w:rFonts w:ascii="新細明體" w:eastAsia="新細明體" w:hAnsi="新細明體" w:cs="新細明體" w:hint="eastAsia"/>
                <w:b/>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：2011/08/01~2012/07/31</w:t>
            </w:r>
          </w:p>
        </w:tc>
      </w:tr>
      <w:tr w:rsidR="00F25AAF" w:rsidRPr="00B25E0B" w:rsidTr="007E0D71">
        <w:trPr>
          <w:cnfStyle w:val="000000100000"/>
          <w:trHeight w:val="330"/>
        </w:trPr>
        <w:tc>
          <w:tcPr>
            <w:cnfStyle w:val="001000000000"/>
            <w:tcW w:w="1418" w:type="dxa"/>
            <w:hideMark/>
          </w:tcPr>
          <w:p w:rsidR="00F25AAF" w:rsidRDefault="00F25AAF" w:rsidP="007E0D71">
            <w:pPr>
              <w:widowControl/>
              <w:jc w:val="center"/>
              <w:rPr>
                <w:rFonts w:ascii="新細明體" w:eastAsia="新細明體" w:hAnsi="新細明體" w:cs="新細明體" w:hint="eastAsia"/>
                <w:color w:val="333333"/>
                <w:kern w:val="0"/>
                <w:szCs w:val="24"/>
              </w:rPr>
            </w:pPr>
            <w:r>
              <w:rPr>
                <w:rFonts w:ascii="新細明體" w:eastAsia="新細明體" w:hAnsi="新細明體" w:cs="新細明體" w:hint="eastAsia"/>
                <w:color w:val="333333"/>
                <w:kern w:val="0"/>
                <w:szCs w:val="24"/>
              </w:rPr>
              <w:t>100</w:t>
            </w:r>
          </w:p>
        </w:tc>
        <w:tc>
          <w:tcPr>
            <w:tcW w:w="1701" w:type="dxa"/>
            <w:hideMark/>
          </w:tcPr>
          <w:p w:rsidR="00F25AAF" w:rsidRPr="00B25E0B" w:rsidRDefault="00F25AAF" w:rsidP="007E0D71">
            <w:pPr>
              <w:widowControl/>
              <w:jc w:val="center"/>
              <w:cnfStyle w:val="000000100000"/>
              <w:rPr>
                <w:rFonts w:ascii="新細明體" w:eastAsia="新細明體" w:hAnsi="新細明體" w:cs="新細明體" w:hint="eastAsia"/>
                <w:color w:val="333333"/>
                <w:kern w:val="0"/>
                <w:szCs w:val="24"/>
              </w:rPr>
            </w:pPr>
            <w:r>
              <w:rPr>
                <w:rFonts w:ascii="新細明體" w:eastAsia="新細明體" w:hAnsi="新細明體" w:cs="新細明體" w:hint="eastAsia"/>
                <w:color w:val="333333"/>
                <w:kern w:val="0"/>
                <w:szCs w:val="24"/>
              </w:rPr>
              <w:t>王子華</w:t>
            </w:r>
          </w:p>
        </w:tc>
        <w:tc>
          <w:tcPr>
            <w:tcW w:w="10538" w:type="dxa"/>
            <w:hideMark/>
          </w:tcPr>
          <w:p w:rsidR="00F25AAF" w:rsidRDefault="00F25AAF" w:rsidP="007E0D71">
            <w:pPr>
              <w:widowControl/>
              <w:cnfStyle w:val="000000100000"/>
              <w:rPr>
                <w:rFonts w:ascii="新細明體" w:eastAsia="新細明體" w:hAnsi="新細明體" w:cs="新細明體" w:hint="eastAsia"/>
                <w:b/>
                <w:color w:val="333333"/>
                <w:kern w:val="0"/>
                <w:szCs w:val="24"/>
              </w:rPr>
            </w:pPr>
            <w:r w:rsidRPr="00B25E0B">
              <w:rPr>
                <w:rFonts w:ascii="新細明體" w:eastAsia="新細明體" w:hAnsi="新細明體" w:cs="新細明體" w:hint="eastAsia"/>
                <w:b/>
                <w:color w:val="333333"/>
                <w:kern w:val="0"/>
                <w:szCs w:val="24"/>
              </w:rPr>
              <w:t>應用資訊通訊技術發展「科學教學媒材共享平台」與「網路化論證式探究學習環境」以輔助教師建構網路化論證式探究學習環境之研究</w:t>
            </w:r>
          </w:p>
          <w:p w:rsidR="00F25AAF" w:rsidRDefault="00F25AAF" w:rsidP="007E0D71">
            <w:pPr>
              <w:widowControl/>
              <w:cnfStyle w:val="000000100000"/>
              <w:rPr>
                <w:rFonts w:ascii="新細明體" w:eastAsia="新細明體" w:hAnsi="新細明體" w:cs="新細明體" w:hint="eastAsia"/>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：2011/08/01~2014/07/31</w:t>
            </w:r>
          </w:p>
          <w:p w:rsidR="00F25AAF" w:rsidRPr="00FC144A" w:rsidRDefault="00F25AAF" w:rsidP="007E0D71">
            <w:pPr>
              <w:widowControl/>
              <w:cnfStyle w:val="000000100000"/>
              <w:rPr>
                <w:rFonts w:ascii="新細明體" w:eastAsia="新細明體" w:hAnsi="新細明體" w:cs="新細明體" w:hint="eastAsia"/>
                <w:b/>
                <w:color w:val="333333"/>
                <w:kern w:val="0"/>
                <w:szCs w:val="24"/>
              </w:rPr>
            </w:pPr>
            <w:r w:rsidRPr="00B25E0B">
              <w:rPr>
                <w:rFonts w:ascii="新細明體" w:eastAsia="新細明體" w:hAnsi="新細明體" w:cs="新細明體" w:hint="eastAsia"/>
                <w:kern w:val="0"/>
                <w:szCs w:val="24"/>
              </w:rPr>
              <w:t>備註</w:t>
            </w:r>
            <w:r w:rsidRPr="00B25E0B">
              <w:rPr>
                <w:rFonts w:ascii="新細明體" w:eastAsia="新細明體" w:hAnsi="新細明體" w:cs="新細明體" w:hint="eastAsia"/>
                <w:color w:val="333333"/>
                <w:kern w:val="0"/>
                <w:szCs w:val="24"/>
              </w:rPr>
              <w:t>：</w:t>
            </w:r>
            <w:r>
              <w:rPr>
                <w:rFonts w:ascii="新細明體" w:eastAsia="新細明體" w:hAnsi="新細明體" w:cs="新細明體" w:hint="eastAsia"/>
                <w:color w:val="333333"/>
                <w:kern w:val="0"/>
                <w:szCs w:val="24"/>
              </w:rPr>
              <w:t>三年期第1期</w:t>
            </w:r>
          </w:p>
        </w:tc>
      </w:tr>
      <w:tr w:rsidR="00F25AAF" w:rsidRPr="00B25E0B" w:rsidTr="007E0D71">
        <w:trPr>
          <w:cnfStyle w:val="000000010000"/>
          <w:trHeight w:val="330"/>
        </w:trPr>
        <w:tc>
          <w:tcPr>
            <w:cnfStyle w:val="001000000000"/>
            <w:tcW w:w="1418" w:type="dxa"/>
            <w:hideMark/>
          </w:tcPr>
          <w:p w:rsidR="00F25AAF" w:rsidRDefault="00F25AAF" w:rsidP="007E0D71">
            <w:pPr>
              <w:widowControl/>
              <w:jc w:val="center"/>
              <w:rPr>
                <w:rFonts w:ascii="新細明體" w:eastAsia="新細明體" w:hAnsi="新細明體" w:cs="新細明體" w:hint="eastAsia"/>
                <w:color w:val="333333"/>
                <w:kern w:val="0"/>
                <w:szCs w:val="24"/>
              </w:rPr>
            </w:pPr>
            <w:r>
              <w:rPr>
                <w:rFonts w:ascii="新細明體" w:eastAsia="新細明體" w:hAnsi="新細明體" w:cs="新細明體" w:hint="eastAsia"/>
                <w:color w:val="333333"/>
                <w:kern w:val="0"/>
                <w:szCs w:val="24"/>
              </w:rPr>
              <w:t>100</w:t>
            </w:r>
          </w:p>
        </w:tc>
        <w:tc>
          <w:tcPr>
            <w:tcW w:w="1701" w:type="dxa"/>
            <w:hideMark/>
          </w:tcPr>
          <w:p w:rsidR="00F25AAF" w:rsidRPr="00B25E0B" w:rsidRDefault="00F25AAF" w:rsidP="007E0D71">
            <w:pPr>
              <w:widowControl/>
              <w:jc w:val="center"/>
              <w:cnfStyle w:val="000000010000"/>
              <w:rPr>
                <w:rFonts w:ascii="新細明體" w:eastAsia="新細明體" w:hAnsi="新細明體" w:cs="新細明體" w:hint="eastAsia"/>
                <w:color w:val="333333"/>
                <w:kern w:val="0"/>
                <w:szCs w:val="24"/>
              </w:rPr>
            </w:pPr>
            <w:r>
              <w:rPr>
                <w:rFonts w:ascii="新細明體" w:eastAsia="新細明體" w:hAnsi="新細明體" w:cs="新細明體" w:hint="eastAsia"/>
                <w:color w:val="333333"/>
                <w:kern w:val="0"/>
                <w:szCs w:val="24"/>
              </w:rPr>
              <w:t>王淳民</w:t>
            </w:r>
          </w:p>
        </w:tc>
        <w:tc>
          <w:tcPr>
            <w:tcW w:w="10538" w:type="dxa"/>
            <w:hideMark/>
          </w:tcPr>
          <w:p w:rsidR="00F25AAF" w:rsidRDefault="00F25AAF" w:rsidP="007E0D71">
            <w:pPr>
              <w:widowControl/>
              <w:cnfStyle w:val="000000010000"/>
              <w:rPr>
                <w:rFonts w:ascii="新細明體" w:eastAsia="新細明體" w:hAnsi="新細明體" w:cs="新細明體" w:hint="eastAsia"/>
                <w:b/>
                <w:color w:val="333333"/>
                <w:kern w:val="0"/>
                <w:szCs w:val="24"/>
              </w:rPr>
            </w:pPr>
            <w:r w:rsidRPr="00B25E0B">
              <w:rPr>
                <w:rFonts w:ascii="新細明體" w:eastAsia="新細明體" w:hAnsi="新細明體" w:cs="新細明體" w:hint="eastAsia"/>
                <w:b/>
                <w:color w:val="333333"/>
                <w:kern w:val="0"/>
                <w:szCs w:val="24"/>
              </w:rPr>
              <w:t>師資培育生協同教學策略應用於偏遠國小跨國網路合作學習之模式探究:以新竹縣原住民國小為例</w:t>
            </w:r>
          </w:p>
          <w:p w:rsidR="00F25AAF" w:rsidRPr="00480992" w:rsidRDefault="00F25AAF" w:rsidP="007E0D71">
            <w:pPr>
              <w:widowControl/>
              <w:cnfStyle w:val="000000010000"/>
              <w:rPr>
                <w:rFonts w:ascii="新細明體" w:eastAsia="新細明體" w:hAnsi="新細明體" w:cs="新細明體" w:hint="eastAsia"/>
                <w:b/>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：2011/08/01~2012/07/31</w:t>
            </w:r>
          </w:p>
        </w:tc>
      </w:tr>
    </w:tbl>
    <w:p w:rsidR="00F25AAF" w:rsidRPr="00B25E0B" w:rsidRDefault="00F25AAF">
      <w:pPr>
        <w:rPr>
          <w:rFonts w:hint="eastAsia"/>
        </w:rPr>
      </w:pPr>
    </w:p>
    <w:sectPr w:rsidR="00F25AAF" w:rsidRPr="00B25E0B" w:rsidSect="00F25AAF">
      <w:pgSz w:w="16838" w:h="11906" w:orient="landscape"/>
      <w:pgMar w:top="851"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DC" w:rsidRDefault="005C26DC" w:rsidP="00B25E0B">
      <w:r>
        <w:separator/>
      </w:r>
    </w:p>
  </w:endnote>
  <w:endnote w:type="continuationSeparator" w:id="0">
    <w:p w:rsidR="005C26DC" w:rsidRDefault="005C26DC" w:rsidP="00B25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粗黑體(P)">
    <w:panose1 w:val="02010601000101010101"/>
    <w:charset w:val="88"/>
    <w:family w:val="auto"/>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DC" w:rsidRDefault="005C26DC" w:rsidP="00B25E0B">
      <w:r>
        <w:separator/>
      </w:r>
    </w:p>
  </w:footnote>
  <w:footnote w:type="continuationSeparator" w:id="0">
    <w:p w:rsidR="005C26DC" w:rsidRDefault="005C26DC" w:rsidP="00B25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E0B"/>
    <w:rsid w:val="00467D77"/>
    <w:rsid w:val="00480992"/>
    <w:rsid w:val="004F3A60"/>
    <w:rsid w:val="005C26DC"/>
    <w:rsid w:val="00B25E0B"/>
    <w:rsid w:val="00F25AAF"/>
    <w:rsid w:val="00FC14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6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E0B"/>
    <w:rPr>
      <w:color w:val="0000FF"/>
      <w:u w:val="single"/>
    </w:rPr>
  </w:style>
  <w:style w:type="paragraph" w:styleId="a4">
    <w:name w:val="header"/>
    <w:basedOn w:val="a"/>
    <w:link w:val="a5"/>
    <w:uiPriority w:val="99"/>
    <w:semiHidden/>
    <w:unhideWhenUsed/>
    <w:rsid w:val="00B25E0B"/>
    <w:pPr>
      <w:tabs>
        <w:tab w:val="center" w:pos="4153"/>
        <w:tab w:val="right" w:pos="8306"/>
      </w:tabs>
      <w:snapToGrid w:val="0"/>
    </w:pPr>
    <w:rPr>
      <w:sz w:val="20"/>
      <w:szCs w:val="20"/>
    </w:rPr>
  </w:style>
  <w:style w:type="character" w:customStyle="1" w:styleId="a5">
    <w:name w:val="頁首 字元"/>
    <w:basedOn w:val="a0"/>
    <w:link w:val="a4"/>
    <w:uiPriority w:val="99"/>
    <w:semiHidden/>
    <w:rsid w:val="00B25E0B"/>
    <w:rPr>
      <w:sz w:val="20"/>
      <w:szCs w:val="20"/>
    </w:rPr>
  </w:style>
  <w:style w:type="paragraph" w:styleId="a6">
    <w:name w:val="footer"/>
    <w:basedOn w:val="a"/>
    <w:link w:val="a7"/>
    <w:uiPriority w:val="99"/>
    <w:semiHidden/>
    <w:unhideWhenUsed/>
    <w:rsid w:val="00B25E0B"/>
    <w:pPr>
      <w:tabs>
        <w:tab w:val="center" w:pos="4153"/>
        <w:tab w:val="right" w:pos="8306"/>
      </w:tabs>
      <w:snapToGrid w:val="0"/>
    </w:pPr>
    <w:rPr>
      <w:sz w:val="20"/>
      <w:szCs w:val="20"/>
    </w:rPr>
  </w:style>
  <w:style w:type="character" w:customStyle="1" w:styleId="a7">
    <w:name w:val="頁尾 字元"/>
    <w:basedOn w:val="a0"/>
    <w:link w:val="a6"/>
    <w:uiPriority w:val="99"/>
    <w:semiHidden/>
    <w:rsid w:val="00B25E0B"/>
    <w:rPr>
      <w:sz w:val="20"/>
      <w:szCs w:val="20"/>
    </w:rPr>
  </w:style>
  <w:style w:type="table" w:styleId="1-1">
    <w:name w:val="Medium Shading 1 Accent 1"/>
    <w:basedOn w:val="a1"/>
    <w:uiPriority w:val="63"/>
    <w:rsid w:val="0048099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39953896">
      <w:bodyDiv w:val="1"/>
      <w:marLeft w:val="0"/>
      <w:marRight w:val="0"/>
      <w:marTop w:val="0"/>
      <w:marBottom w:val="0"/>
      <w:divBdr>
        <w:top w:val="none" w:sz="0" w:space="0" w:color="auto"/>
        <w:left w:val="none" w:sz="0" w:space="0" w:color="auto"/>
        <w:bottom w:val="none" w:sz="0" w:space="0" w:color="auto"/>
        <w:right w:val="none" w:sz="0" w:space="0" w:color="auto"/>
      </w:divBdr>
    </w:div>
    <w:div w:id="13528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__doPostBack('wUctlAwardQueryPage$grdResult','Sort$AWARD_USER_N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wUctlAwardQueryPage$grdResult','Sort$AWARD_YE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127</Words>
  <Characters>729</Characters>
  <Application>Microsoft Office Word</Application>
  <DocSecurity>0</DocSecurity>
  <Lines>6</Lines>
  <Paragraphs>1</Paragraphs>
  <ScaleCrop>false</ScaleCrop>
  <Company>SkyUN.Org</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5</cp:revision>
  <dcterms:created xsi:type="dcterms:W3CDTF">2013-11-15T01:56:00Z</dcterms:created>
  <dcterms:modified xsi:type="dcterms:W3CDTF">2013-11-15T02:28:00Z</dcterms:modified>
</cp:coreProperties>
</file>